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449ED" w14:textId="1E9021B4" w:rsidR="00FF7F38" w:rsidRDefault="00FF7F38" w:rsidP="00FF7F38">
      <w:pPr>
        <w:ind w:left="-540" w:right="-450"/>
        <w:rPr>
          <w:b/>
          <w:bCs/>
          <w:sz w:val="28"/>
          <w:szCs w:val="28"/>
        </w:rPr>
      </w:pPr>
    </w:p>
    <w:p w14:paraId="1A69C3F2" w14:textId="77777777" w:rsidR="00234DC0" w:rsidRDefault="00234DC0" w:rsidP="00FF7F38">
      <w:pPr>
        <w:ind w:left="-540" w:right="-450"/>
        <w:rPr>
          <w:b/>
          <w:bCs/>
          <w:sz w:val="28"/>
          <w:szCs w:val="28"/>
        </w:rPr>
      </w:pPr>
    </w:p>
    <w:p w14:paraId="558E0712" w14:textId="77777777" w:rsidR="00FF7F38" w:rsidRDefault="00FF7F38" w:rsidP="00FF7F38">
      <w:pPr>
        <w:ind w:left="-540" w:right="-450"/>
        <w:rPr>
          <w:b/>
          <w:bCs/>
          <w:sz w:val="28"/>
          <w:szCs w:val="28"/>
        </w:rPr>
      </w:pPr>
    </w:p>
    <w:p w14:paraId="7F997182" w14:textId="026003A5" w:rsidR="00FF7F38" w:rsidRDefault="00FF7F38" w:rsidP="00FF7F38">
      <w:pPr>
        <w:ind w:left="-540" w:right="-450"/>
        <w:rPr>
          <w:b/>
          <w:bCs/>
          <w:sz w:val="28"/>
          <w:szCs w:val="28"/>
        </w:rPr>
      </w:pPr>
      <w:r>
        <w:rPr>
          <w:b/>
          <w:bCs/>
          <w:sz w:val="28"/>
          <w:szCs w:val="28"/>
        </w:rPr>
        <w:tab/>
      </w:r>
    </w:p>
    <w:p w14:paraId="11011F78" w14:textId="77777777" w:rsidR="00FF7F38" w:rsidRDefault="00FF7F38" w:rsidP="00FF7F38">
      <w:pPr>
        <w:ind w:left="-540" w:right="-450"/>
        <w:rPr>
          <w:b/>
          <w:bCs/>
          <w:sz w:val="28"/>
          <w:szCs w:val="28"/>
        </w:rPr>
      </w:pPr>
    </w:p>
    <w:p w14:paraId="50302284" w14:textId="224665F1" w:rsidR="00FF7F38" w:rsidRDefault="00FF7F38" w:rsidP="00FF7F38">
      <w:pPr>
        <w:ind w:left="-540" w:right="-450"/>
        <w:rPr>
          <w:b/>
          <w:bCs/>
          <w:sz w:val="28"/>
          <w:szCs w:val="28"/>
        </w:rPr>
      </w:pPr>
    </w:p>
    <w:p w14:paraId="01C19C2E" w14:textId="73F11A87" w:rsidR="00B70C96" w:rsidRDefault="00B70C96" w:rsidP="00FF7F38">
      <w:pPr>
        <w:ind w:left="-540" w:right="-450"/>
        <w:rPr>
          <w:b/>
          <w:bCs/>
          <w:sz w:val="28"/>
          <w:szCs w:val="28"/>
        </w:rPr>
      </w:pPr>
    </w:p>
    <w:p w14:paraId="0393957F" w14:textId="77777777" w:rsidR="00234DC0" w:rsidRDefault="00234DC0" w:rsidP="00FF7F38">
      <w:pPr>
        <w:ind w:left="-540" w:right="-450"/>
        <w:rPr>
          <w:b/>
          <w:bCs/>
          <w:sz w:val="28"/>
          <w:szCs w:val="28"/>
        </w:rPr>
      </w:pPr>
    </w:p>
    <w:p w14:paraId="55D4AF07" w14:textId="4FDAE4B4" w:rsidR="00234DC0" w:rsidRDefault="00234DC0" w:rsidP="00FF7F38">
      <w:pPr>
        <w:ind w:left="-540" w:right="-450"/>
        <w:rPr>
          <w:b/>
          <w:bCs/>
          <w:sz w:val="28"/>
          <w:szCs w:val="28"/>
        </w:rPr>
      </w:pPr>
    </w:p>
    <w:p w14:paraId="1B84B6BE" w14:textId="77777777" w:rsidR="00234DC0" w:rsidRDefault="00234DC0" w:rsidP="00FF7F38">
      <w:pPr>
        <w:ind w:left="-540" w:right="-450"/>
        <w:rPr>
          <w:b/>
          <w:bCs/>
          <w:sz w:val="28"/>
          <w:szCs w:val="28"/>
        </w:rPr>
      </w:pPr>
    </w:p>
    <w:p w14:paraId="1EE77E18" w14:textId="77777777" w:rsidR="00234DC0" w:rsidRDefault="00234DC0" w:rsidP="00360C20">
      <w:pPr>
        <w:jc w:val="center"/>
        <w:rPr>
          <w:b/>
          <w:bCs/>
          <w:sz w:val="40"/>
          <w:szCs w:val="40"/>
        </w:rPr>
      </w:pPr>
      <w:bookmarkStart w:id="0" w:name="SubTitle"/>
      <w:r w:rsidRPr="00475E92">
        <w:rPr>
          <w:b/>
          <w:bCs/>
          <w:sz w:val="40"/>
          <w:szCs w:val="40"/>
        </w:rPr>
        <w:t>Thai Rayon Public Company Limited</w:t>
      </w:r>
    </w:p>
    <w:p w14:paraId="31DD19B0" w14:textId="77777777" w:rsidR="00234DC0" w:rsidRPr="00C635BB" w:rsidRDefault="00234DC0" w:rsidP="005B032F">
      <w:pPr>
        <w:spacing w:before="120"/>
        <w:jc w:val="center"/>
        <w:rPr>
          <w:b/>
          <w:bCs/>
          <w:sz w:val="28"/>
          <w:szCs w:val="28"/>
        </w:rPr>
      </w:pPr>
    </w:p>
    <w:bookmarkEnd w:id="0"/>
    <w:p w14:paraId="0A2F4CE8" w14:textId="77777777" w:rsidR="00234DC0" w:rsidRPr="00C635BB" w:rsidRDefault="00234DC0" w:rsidP="00360C20">
      <w:pPr>
        <w:pStyle w:val="CoverTitle"/>
        <w:spacing w:line="240" w:lineRule="atLeast"/>
        <w:jc w:val="center"/>
        <w:rPr>
          <w:spacing w:val="-3"/>
          <w:szCs w:val="36"/>
        </w:rPr>
      </w:pPr>
      <w:r>
        <w:rPr>
          <w:spacing w:val="-3"/>
          <w:szCs w:val="36"/>
        </w:rPr>
        <w:t>Condensed i</w:t>
      </w:r>
      <w:r w:rsidRPr="00C635BB">
        <w:rPr>
          <w:spacing w:val="-3"/>
          <w:szCs w:val="36"/>
        </w:rPr>
        <w:t>nterim financial statements</w:t>
      </w:r>
    </w:p>
    <w:p w14:paraId="53A61D32" w14:textId="77777777" w:rsidR="00234DC0" w:rsidRPr="00C635BB" w:rsidRDefault="00234DC0" w:rsidP="00360C20">
      <w:pPr>
        <w:pStyle w:val="CoverTitle"/>
        <w:spacing w:line="240" w:lineRule="atLeast"/>
        <w:jc w:val="center"/>
        <w:rPr>
          <w:spacing w:val="-3"/>
          <w:szCs w:val="36"/>
        </w:rPr>
      </w:pPr>
      <w:r w:rsidRPr="00C635BB">
        <w:rPr>
          <w:spacing w:val="-3"/>
          <w:szCs w:val="36"/>
        </w:rPr>
        <w:t>for the three-month</w:t>
      </w:r>
      <w:r>
        <w:rPr>
          <w:spacing w:val="-3"/>
          <w:szCs w:val="36"/>
        </w:rPr>
        <w:t xml:space="preserve"> and six-month</w:t>
      </w:r>
      <w:r w:rsidRPr="00C635BB">
        <w:rPr>
          <w:spacing w:val="-3"/>
          <w:szCs w:val="36"/>
        </w:rPr>
        <w:t xml:space="preserve"> period</w:t>
      </w:r>
      <w:r>
        <w:rPr>
          <w:spacing w:val="-3"/>
          <w:szCs w:val="36"/>
        </w:rPr>
        <w:t>s</w:t>
      </w:r>
      <w:r w:rsidRPr="00C635BB">
        <w:rPr>
          <w:spacing w:val="-3"/>
          <w:szCs w:val="36"/>
        </w:rPr>
        <w:t xml:space="preserve"> ended</w:t>
      </w:r>
    </w:p>
    <w:p w14:paraId="26BAFADB" w14:textId="77777777" w:rsidR="00234DC0" w:rsidRPr="00C635BB" w:rsidRDefault="00234DC0" w:rsidP="00360C20">
      <w:pPr>
        <w:pStyle w:val="CoverTitle"/>
        <w:spacing w:line="240" w:lineRule="atLeast"/>
        <w:jc w:val="center"/>
        <w:rPr>
          <w:spacing w:val="-3"/>
          <w:szCs w:val="36"/>
        </w:rPr>
      </w:pPr>
      <w:r w:rsidRPr="00C635BB">
        <w:rPr>
          <w:spacing w:val="-3"/>
          <w:szCs w:val="36"/>
        </w:rPr>
        <w:t>3</w:t>
      </w:r>
      <w:r>
        <w:rPr>
          <w:rFonts w:cs="Angsana New"/>
          <w:spacing w:val="-3"/>
          <w:szCs w:val="45"/>
          <w:lang w:val="en-US" w:bidi="th-TH"/>
        </w:rPr>
        <w:t>0</w:t>
      </w:r>
      <w:r w:rsidRPr="00C635BB">
        <w:rPr>
          <w:spacing w:val="-3"/>
          <w:szCs w:val="36"/>
        </w:rPr>
        <w:t xml:space="preserve"> </w:t>
      </w:r>
      <w:r>
        <w:rPr>
          <w:spacing w:val="-3"/>
          <w:szCs w:val="36"/>
        </w:rPr>
        <w:t>September</w:t>
      </w:r>
      <w:r w:rsidRPr="00C635BB">
        <w:rPr>
          <w:spacing w:val="-3"/>
          <w:szCs w:val="36"/>
        </w:rPr>
        <w:t xml:space="preserve"> 2020</w:t>
      </w:r>
    </w:p>
    <w:p w14:paraId="6E36686A" w14:textId="77777777" w:rsidR="00234DC0" w:rsidRPr="00C635BB" w:rsidRDefault="00234DC0" w:rsidP="00360C20">
      <w:pPr>
        <w:pStyle w:val="CoverTitle"/>
        <w:spacing w:line="240" w:lineRule="atLeast"/>
        <w:jc w:val="center"/>
        <w:rPr>
          <w:spacing w:val="-3"/>
          <w:szCs w:val="36"/>
        </w:rPr>
      </w:pPr>
      <w:r w:rsidRPr="00C635BB">
        <w:rPr>
          <w:spacing w:val="-3"/>
          <w:szCs w:val="36"/>
        </w:rPr>
        <w:t>and</w:t>
      </w:r>
    </w:p>
    <w:p w14:paraId="7B34427C" w14:textId="09477EBA" w:rsidR="00234DC0" w:rsidRDefault="00234DC0" w:rsidP="00360C20">
      <w:pPr>
        <w:ind w:left="-540" w:right="-450"/>
        <w:jc w:val="center"/>
        <w:rPr>
          <w:spacing w:val="-3"/>
          <w:sz w:val="36"/>
          <w:szCs w:val="36"/>
        </w:rPr>
      </w:pPr>
      <w:r w:rsidRPr="00C635BB">
        <w:rPr>
          <w:spacing w:val="-3"/>
          <w:sz w:val="36"/>
          <w:szCs w:val="36"/>
        </w:rPr>
        <w:t>Independent auditor’s review report</w:t>
      </w:r>
    </w:p>
    <w:p w14:paraId="16D56590" w14:textId="13A5FD70" w:rsidR="00234DC0" w:rsidRDefault="00234DC0" w:rsidP="00234DC0">
      <w:pPr>
        <w:ind w:left="-540" w:right="-450"/>
        <w:rPr>
          <w:spacing w:val="-3"/>
          <w:sz w:val="36"/>
          <w:szCs w:val="36"/>
        </w:rPr>
      </w:pPr>
    </w:p>
    <w:p w14:paraId="61F86709" w14:textId="1195AAB3" w:rsidR="00234DC0" w:rsidRDefault="00234DC0" w:rsidP="00234DC0">
      <w:pPr>
        <w:ind w:left="-540" w:right="-450"/>
        <w:rPr>
          <w:spacing w:val="-3"/>
          <w:sz w:val="36"/>
          <w:szCs w:val="36"/>
        </w:rPr>
      </w:pPr>
    </w:p>
    <w:p w14:paraId="35C2541E" w14:textId="7B21DA7C" w:rsidR="00234DC0" w:rsidRDefault="00234DC0" w:rsidP="00234DC0">
      <w:pPr>
        <w:ind w:left="-540" w:right="-450"/>
        <w:rPr>
          <w:spacing w:val="-3"/>
          <w:sz w:val="36"/>
          <w:szCs w:val="36"/>
        </w:rPr>
      </w:pPr>
    </w:p>
    <w:p w14:paraId="5CC7D436" w14:textId="7924FD8C" w:rsidR="00234DC0" w:rsidRDefault="00234DC0" w:rsidP="00234DC0">
      <w:pPr>
        <w:ind w:left="-540" w:right="-450"/>
        <w:rPr>
          <w:spacing w:val="-3"/>
          <w:sz w:val="36"/>
          <w:szCs w:val="36"/>
        </w:rPr>
      </w:pPr>
    </w:p>
    <w:p w14:paraId="1B1FCD36" w14:textId="2E105314" w:rsidR="00234DC0" w:rsidRDefault="00234DC0" w:rsidP="00234DC0">
      <w:pPr>
        <w:ind w:left="-540" w:right="-450"/>
        <w:rPr>
          <w:spacing w:val="-3"/>
          <w:sz w:val="36"/>
          <w:szCs w:val="36"/>
        </w:rPr>
      </w:pPr>
    </w:p>
    <w:p w14:paraId="43500487" w14:textId="6FCA75D9" w:rsidR="00234DC0" w:rsidRDefault="00234DC0" w:rsidP="00234DC0">
      <w:pPr>
        <w:ind w:left="-540" w:right="-450"/>
        <w:rPr>
          <w:spacing w:val="-3"/>
          <w:sz w:val="36"/>
          <w:szCs w:val="36"/>
        </w:rPr>
      </w:pPr>
    </w:p>
    <w:p w14:paraId="4517F89F" w14:textId="43A9D017" w:rsidR="00234DC0" w:rsidRDefault="00234DC0" w:rsidP="00234DC0">
      <w:pPr>
        <w:ind w:left="-540" w:right="-450"/>
        <w:rPr>
          <w:spacing w:val="-3"/>
          <w:sz w:val="36"/>
          <w:szCs w:val="36"/>
        </w:rPr>
      </w:pPr>
    </w:p>
    <w:p w14:paraId="64A0E482" w14:textId="0B6B4D7C" w:rsidR="00234DC0" w:rsidRDefault="00234DC0" w:rsidP="00234DC0">
      <w:pPr>
        <w:ind w:left="-540" w:right="-450"/>
        <w:rPr>
          <w:spacing w:val="-3"/>
          <w:sz w:val="36"/>
          <w:szCs w:val="36"/>
        </w:rPr>
      </w:pPr>
    </w:p>
    <w:p w14:paraId="2E8843FF" w14:textId="3CA55F16" w:rsidR="00234DC0" w:rsidRDefault="00234DC0" w:rsidP="00234DC0">
      <w:pPr>
        <w:ind w:left="-540" w:right="-450"/>
        <w:rPr>
          <w:spacing w:val="-3"/>
          <w:sz w:val="36"/>
          <w:szCs w:val="36"/>
        </w:rPr>
      </w:pPr>
    </w:p>
    <w:p w14:paraId="2F3D937A" w14:textId="684F89E8" w:rsidR="00234DC0" w:rsidRDefault="00234DC0" w:rsidP="00234DC0">
      <w:pPr>
        <w:ind w:left="-540" w:right="-450"/>
        <w:rPr>
          <w:spacing w:val="-3"/>
          <w:sz w:val="36"/>
          <w:szCs w:val="36"/>
        </w:rPr>
      </w:pPr>
    </w:p>
    <w:p w14:paraId="4E6A7A46" w14:textId="65E1A5F8" w:rsidR="00234DC0" w:rsidRDefault="00234DC0" w:rsidP="00234DC0">
      <w:pPr>
        <w:ind w:left="-540" w:right="-450"/>
        <w:rPr>
          <w:spacing w:val="-3"/>
          <w:sz w:val="36"/>
          <w:szCs w:val="36"/>
        </w:rPr>
      </w:pPr>
    </w:p>
    <w:p w14:paraId="1CA9136E" w14:textId="1D5B31DD" w:rsidR="00234DC0" w:rsidRDefault="00234DC0" w:rsidP="00234DC0">
      <w:pPr>
        <w:ind w:left="-540" w:right="-450"/>
        <w:rPr>
          <w:spacing w:val="-3"/>
          <w:sz w:val="36"/>
          <w:szCs w:val="36"/>
        </w:rPr>
      </w:pPr>
    </w:p>
    <w:p w14:paraId="4E94A907" w14:textId="38253ECB" w:rsidR="00234DC0" w:rsidRDefault="00234DC0" w:rsidP="00234DC0">
      <w:pPr>
        <w:ind w:left="-540" w:right="-450"/>
        <w:rPr>
          <w:spacing w:val="-3"/>
          <w:sz w:val="36"/>
          <w:szCs w:val="36"/>
        </w:rPr>
      </w:pPr>
    </w:p>
    <w:p w14:paraId="07E6D601" w14:textId="3DAC9930" w:rsidR="00234DC0" w:rsidRDefault="00234DC0" w:rsidP="00234DC0">
      <w:pPr>
        <w:ind w:left="-540" w:right="-450"/>
        <w:rPr>
          <w:spacing w:val="-3"/>
          <w:sz w:val="36"/>
          <w:szCs w:val="36"/>
        </w:rPr>
      </w:pPr>
    </w:p>
    <w:p w14:paraId="217DA274" w14:textId="6BCDF1B6" w:rsidR="00234DC0" w:rsidRDefault="00234DC0" w:rsidP="00234DC0">
      <w:pPr>
        <w:ind w:left="-540" w:right="-450"/>
        <w:rPr>
          <w:spacing w:val="-3"/>
          <w:sz w:val="36"/>
          <w:szCs w:val="36"/>
        </w:rPr>
      </w:pPr>
    </w:p>
    <w:p w14:paraId="56BECE73" w14:textId="7102EB04" w:rsidR="00234DC0" w:rsidRDefault="00234DC0" w:rsidP="00234DC0">
      <w:pPr>
        <w:ind w:left="-540" w:right="-450"/>
        <w:rPr>
          <w:spacing w:val="-3"/>
          <w:sz w:val="36"/>
          <w:szCs w:val="36"/>
        </w:rPr>
      </w:pPr>
    </w:p>
    <w:p w14:paraId="17FEDF1C" w14:textId="27C1E2F4" w:rsidR="00234DC0" w:rsidRDefault="00234DC0" w:rsidP="00234DC0">
      <w:pPr>
        <w:ind w:left="-540" w:right="-450"/>
        <w:rPr>
          <w:spacing w:val="-3"/>
          <w:sz w:val="36"/>
          <w:szCs w:val="36"/>
        </w:rPr>
      </w:pPr>
    </w:p>
    <w:p w14:paraId="542C83CE" w14:textId="4AC95585" w:rsidR="00234DC0" w:rsidRDefault="00234DC0" w:rsidP="00234DC0">
      <w:pPr>
        <w:ind w:left="-540" w:right="-450"/>
        <w:rPr>
          <w:spacing w:val="-3"/>
          <w:sz w:val="36"/>
          <w:szCs w:val="36"/>
        </w:rPr>
      </w:pPr>
    </w:p>
    <w:p w14:paraId="28E2A76F" w14:textId="1A3E182E" w:rsidR="00234DC0" w:rsidRDefault="00234DC0" w:rsidP="00234DC0">
      <w:pPr>
        <w:ind w:left="-540" w:right="-450"/>
        <w:rPr>
          <w:spacing w:val="-3"/>
          <w:sz w:val="36"/>
          <w:szCs w:val="36"/>
        </w:rPr>
      </w:pPr>
    </w:p>
    <w:p w14:paraId="5B3261CB" w14:textId="36DE94B8" w:rsidR="00234DC0" w:rsidRDefault="00234DC0" w:rsidP="00234DC0">
      <w:pPr>
        <w:ind w:left="-540" w:right="-450"/>
        <w:rPr>
          <w:spacing w:val="-3"/>
          <w:sz w:val="36"/>
          <w:szCs w:val="36"/>
        </w:rPr>
      </w:pPr>
    </w:p>
    <w:p w14:paraId="13FC26DF" w14:textId="4B6BEC30" w:rsidR="00234DC0" w:rsidRDefault="00234DC0" w:rsidP="00234DC0">
      <w:pPr>
        <w:ind w:left="-540" w:right="-450"/>
        <w:rPr>
          <w:spacing w:val="-3"/>
          <w:sz w:val="36"/>
          <w:szCs w:val="36"/>
        </w:rPr>
      </w:pPr>
    </w:p>
    <w:p w14:paraId="0650C99A" w14:textId="6452DC74" w:rsidR="00234DC0" w:rsidRDefault="00234DC0" w:rsidP="00234DC0">
      <w:pPr>
        <w:ind w:left="-540" w:right="-450"/>
        <w:rPr>
          <w:spacing w:val="-3"/>
          <w:sz w:val="36"/>
          <w:szCs w:val="36"/>
        </w:rPr>
      </w:pPr>
    </w:p>
    <w:p w14:paraId="59E0413B" w14:textId="0B334E47" w:rsidR="00234DC0" w:rsidRDefault="00234DC0" w:rsidP="00234DC0">
      <w:pPr>
        <w:ind w:left="-540" w:right="-450"/>
        <w:rPr>
          <w:spacing w:val="-3"/>
          <w:sz w:val="36"/>
          <w:szCs w:val="36"/>
        </w:rPr>
      </w:pPr>
    </w:p>
    <w:p w14:paraId="4A4EA51A" w14:textId="4620AFD6" w:rsidR="00234DC0" w:rsidRDefault="00234DC0" w:rsidP="00234DC0">
      <w:pPr>
        <w:ind w:left="-540" w:right="-450"/>
        <w:rPr>
          <w:spacing w:val="-3"/>
          <w:sz w:val="36"/>
          <w:szCs w:val="36"/>
        </w:rPr>
      </w:pPr>
    </w:p>
    <w:p w14:paraId="6F0672F7" w14:textId="65755FD8" w:rsidR="00234DC0" w:rsidRDefault="00234DC0" w:rsidP="00234DC0">
      <w:pPr>
        <w:ind w:left="-540" w:right="-450"/>
        <w:rPr>
          <w:spacing w:val="-3"/>
          <w:sz w:val="36"/>
          <w:szCs w:val="36"/>
        </w:rPr>
      </w:pPr>
    </w:p>
    <w:p w14:paraId="2E65D258" w14:textId="54FA4B1F" w:rsidR="005B02CE" w:rsidRPr="00337A46" w:rsidRDefault="00157995" w:rsidP="00FF7F38">
      <w:pPr>
        <w:ind w:left="-540" w:right="-450"/>
        <w:rPr>
          <w:b/>
          <w:bCs/>
          <w:sz w:val="28"/>
          <w:szCs w:val="28"/>
        </w:rPr>
      </w:pPr>
      <w:r w:rsidRPr="00337A46">
        <w:rPr>
          <w:b/>
          <w:bCs/>
          <w:sz w:val="28"/>
          <w:szCs w:val="28"/>
        </w:rPr>
        <w:t xml:space="preserve">Independent </w:t>
      </w:r>
      <w:r w:rsidR="005B02CE" w:rsidRPr="00337A46">
        <w:rPr>
          <w:b/>
          <w:bCs/>
          <w:sz w:val="28"/>
          <w:szCs w:val="28"/>
        </w:rPr>
        <w:t>Audit</w:t>
      </w:r>
      <w:r w:rsidRPr="00337A46">
        <w:rPr>
          <w:b/>
          <w:bCs/>
          <w:sz w:val="28"/>
          <w:szCs w:val="28"/>
        </w:rPr>
        <w:t>or’s</w:t>
      </w:r>
      <w:r w:rsidR="005B02CE" w:rsidRPr="00337A46">
        <w:rPr>
          <w:b/>
          <w:bCs/>
          <w:sz w:val="28"/>
          <w:szCs w:val="28"/>
        </w:rPr>
        <w:t xml:space="preserve"> </w:t>
      </w:r>
      <w:r w:rsidRPr="00337A46">
        <w:rPr>
          <w:b/>
          <w:bCs/>
          <w:sz w:val="28"/>
          <w:szCs w:val="28"/>
        </w:rPr>
        <w:t>Report on Review</w:t>
      </w:r>
      <w:r w:rsidR="00CD1A8F" w:rsidRPr="00337A46">
        <w:rPr>
          <w:b/>
          <w:bCs/>
          <w:sz w:val="28"/>
          <w:szCs w:val="28"/>
        </w:rPr>
        <w:t xml:space="preserve"> of Interim Financial Information</w:t>
      </w:r>
    </w:p>
    <w:p w14:paraId="134346C6" w14:textId="4A343BB2" w:rsidR="005B02CE" w:rsidRPr="005B032F" w:rsidRDefault="005B02CE" w:rsidP="00FF7F38">
      <w:pPr>
        <w:pStyle w:val="RNormal"/>
        <w:ind w:left="-540"/>
        <w:rPr>
          <w:sz w:val="18"/>
          <w:szCs w:val="20"/>
        </w:rPr>
      </w:pPr>
    </w:p>
    <w:p w14:paraId="50E30B15" w14:textId="77777777" w:rsidR="00B70C96" w:rsidRPr="005B032F" w:rsidRDefault="00B70C96" w:rsidP="00FF7F38">
      <w:pPr>
        <w:pStyle w:val="RNormal"/>
        <w:ind w:left="-540"/>
        <w:rPr>
          <w:sz w:val="18"/>
          <w:szCs w:val="20"/>
        </w:rPr>
      </w:pPr>
    </w:p>
    <w:p w14:paraId="16FED460" w14:textId="39F65B19" w:rsidR="005B02CE" w:rsidRPr="00FF7F38" w:rsidRDefault="005B02CE" w:rsidP="00FF7F38">
      <w:pPr>
        <w:ind w:left="-540"/>
        <w:jc w:val="both"/>
        <w:rPr>
          <w:b/>
          <w:bCs/>
        </w:rPr>
      </w:pPr>
      <w:r w:rsidRPr="00FF7F38">
        <w:rPr>
          <w:b/>
          <w:bCs/>
        </w:rPr>
        <w:t xml:space="preserve">To the </w:t>
      </w:r>
      <w:r w:rsidR="00157995" w:rsidRPr="00FF7F38">
        <w:rPr>
          <w:b/>
          <w:bCs/>
        </w:rPr>
        <w:t xml:space="preserve">Board of Directors of </w:t>
      </w:r>
      <w:r w:rsidR="00E11D94" w:rsidRPr="00FF7F38">
        <w:rPr>
          <w:rFonts w:cs="Angsana New"/>
          <w:b/>
          <w:bCs/>
          <w:lang w:bidi="th-TH"/>
        </w:rPr>
        <w:t>Thai Rayon</w:t>
      </w:r>
      <w:r w:rsidRPr="00FF7F38">
        <w:rPr>
          <w:rFonts w:cs="Angsana New"/>
          <w:b/>
          <w:bCs/>
          <w:lang w:bidi="th-TH"/>
        </w:rPr>
        <w:t xml:space="preserve"> Public Company Limited</w:t>
      </w:r>
    </w:p>
    <w:p w14:paraId="746D15EB" w14:textId="312D024A" w:rsidR="00242D8E" w:rsidRPr="005B032F" w:rsidRDefault="00242D8E" w:rsidP="00FF7F38">
      <w:pPr>
        <w:ind w:left="-540"/>
        <w:jc w:val="both"/>
        <w:rPr>
          <w:iCs/>
          <w:sz w:val="18"/>
          <w:szCs w:val="20"/>
        </w:rPr>
      </w:pPr>
    </w:p>
    <w:p w14:paraId="26BDACAC" w14:textId="77777777" w:rsidR="00B70C96" w:rsidRPr="005B032F" w:rsidRDefault="00B70C96" w:rsidP="00FF7F38">
      <w:pPr>
        <w:ind w:left="-540"/>
        <w:jc w:val="both"/>
        <w:rPr>
          <w:iCs/>
          <w:sz w:val="18"/>
          <w:szCs w:val="20"/>
        </w:rPr>
      </w:pPr>
    </w:p>
    <w:p w14:paraId="17EECC96" w14:textId="668ECE50" w:rsidR="005B02CE" w:rsidRPr="003B2993" w:rsidRDefault="00157995" w:rsidP="00FF7F38">
      <w:pPr>
        <w:ind w:left="-540"/>
        <w:jc w:val="both"/>
        <w:rPr>
          <w:rFonts w:cs="Angsana New"/>
          <w:sz w:val="22"/>
          <w:lang w:bidi="th-TH"/>
        </w:rPr>
      </w:pPr>
      <w:r w:rsidRPr="001B62E3">
        <w:rPr>
          <w:rFonts w:cs="Angsana New"/>
          <w:sz w:val="22"/>
          <w:lang w:bidi="th-TH"/>
        </w:rPr>
        <w:t>I have reviewe</w:t>
      </w:r>
      <w:r w:rsidR="00A05F3D" w:rsidRPr="001B62E3">
        <w:rPr>
          <w:rFonts w:cs="Angsana New"/>
          <w:sz w:val="22"/>
          <w:lang w:bidi="th-TH"/>
        </w:rPr>
        <w:t>d the accompanying</w:t>
      </w:r>
      <w:r w:rsidR="00CD1A8F" w:rsidRPr="001B62E3">
        <w:rPr>
          <w:rFonts w:cs="Angsana New"/>
          <w:sz w:val="22"/>
          <w:lang w:bidi="th-TH"/>
        </w:rPr>
        <w:t xml:space="preserve"> </w:t>
      </w:r>
      <w:r w:rsidR="003E3E30" w:rsidRPr="001B62E3">
        <w:rPr>
          <w:rFonts w:cs="Angsana New"/>
          <w:sz w:val="22"/>
          <w:lang w:bidi="th-TH"/>
        </w:rPr>
        <w:t>statement of financial position in which the equity method is applied</w:t>
      </w:r>
      <w:r w:rsidR="005B02CE" w:rsidRPr="001B62E3">
        <w:rPr>
          <w:rFonts w:cs="Angsana New"/>
          <w:sz w:val="22"/>
          <w:lang w:bidi="th-TH"/>
        </w:rPr>
        <w:t xml:space="preserve"> and separate</w:t>
      </w:r>
      <w:r w:rsidR="00EB70FB" w:rsidRPr="001B62E3">
        <w:rPr>
          <w:rFonts w:cs="Angsana New"/>
          <w:sz w:val="22"/>
          <w:lang w:bidi="th-TH"/>
        </w:rPr>
        <w:t xml:space="preserve"> </w:t>
      </w:r>
      <w:r w:rsidR="00B153F5" w:rsidRPr="001B62E3">
        <w:rPr>
          <w:rFonts w:cs="Angsana New"/>
          <w:sz w:val="22"/>
          <w:lang w:bidi="th-TH"/>
        </w:rPr>
        <w:t>statement</w:t>
      </w:r>
      <w:r w:rsidRPr="001B62E3">
        <w:rPr>
          <w:rFonts w:cs="Angsana New"/>
          <w:sz w:val="22"/>
          <w:lang w:bidi="th-TH"/>
        </w:rPr>
        <w:t xml:space="preserve"> of financial position</w:t>
      </w:r>
      <w:r w:rsidR="00EB70FB" w:rsidRPr="001B62E3">
        <w:rPr>
          <w:rFonts w:cs="Angsana New"/>
          <w:sz w:val="22"/>
          <w:lang w:bidi="th-TH"/>
        </w:rPr>
        <w:t xml:space="preserve"> of </w:t>
      </w:r>
      <w:r w:rsidR="00E11D94" w:rsidRPr="001B62E3">
        <w:rPr>
          <w:rFonts w:cs="Angsana New"/>
          <w:sz w:val="22"/>
          <w:lang w:bidi="th-TH"/>
        </w:rPr>
        <w:t>Thai Rayon</w:t>
      </w:r>
      <w:r w:rsidR="00E11D94" w:rsidRPr="001B62E3">
        <w:rPr>
          <w:rFonts w:cs="Angsana New"/>
          <w:b/>
          <w:bCs/>
          <w:sz w:val="22"/>
          <w:lang w:bidi="th-TH"/>
        </w:rPr>
        <w:t xml:space="preserve"> </w:t>
      </w:r>
      <w:r w:rsidR="00D21095" w:rsidRPr="001B62E3">
        <w:rPr>
          <w:rFonts w:cs="Angsana New"/>
          <w:sz w:val="22"/>
          <w:lang w:bidi="th-TH"/>
        </w:rPr>
        <w:t>Public Company Limited</w:t>
      </w:r>
      <w:r w:rsidR="002A0B27" w:rsidRPr="001B62E3">
        <w:rPr>
          <w:rFonts w:cs="Angsana New" w:hint="cs"/>
          <w:sz w:val="22"/>
          <w:cs/>
          <w:lang w:bidi="th-TH"/>
        </w:rPr>
        <w:t xml:space="preserve"> </w:t>
      </w:r>
      <w:r w:rsidR="001F29B0" w:rsidRPr="001B62E3">
        <w:rPr>
          <w:rFonts w:cs="Angsana New"/>
          <w:sz w:val="22"/>
          <w:lang w:bidi="th-TH"/>
        </w:rPr>
        <w:t>(“the Company”)</w:t>
      </w:r>
      <w:r w:rsidR="00EB70FB" w:rsidRPr="001B62E3">
        <w:rPr>
          <w:rFonts w:cs="Angsana New"/>
          <w:sz w:val="22"/>
          <w:lang w:bidi="th-TH"/>
        </w:rPr>
        <w:t xml:space="preserve"> </w:t>
      </w:r>
      <w:r w:rsidR="005B02CE" w:rsidRPr="001B62E3">
        <w:rPr>
          <w:rFonts w:cs="Angsana New"/>
          <w:sz w:val="22"/>
          <w:lang w:bidi="th-TH"/>
        </w:rPr>
        <w:t xml:space="preserve">as at </w:t>
      </w:r>
      <w:r w:rsidR="00EB70FB" w:rsidRPr="001B62E3">
        <w:rPr>
          <w:rFonts w:cs="Angsana New"/>
          <w:sz w:val="22"/>
          <w:lang w:bidi="th-TH"/>
        </w:rPr>
        <w:t>3</w:t>
      </w:r>
      <w:r w:rsidR="0031483A" w:rsidRPr="001B62E3">
        <w:rPr>
          <w:rFonts w:cs="Angsana New"/>
          <w:sz w:val="22"/>
          <w:lang w:bidi="th-TH"/>
        </w:rPr>
        <w:t>0</w:t>
      </w:r>
      <w:r w:rsidR="00EB70FB" w:rsidRPr="001B62E3">
        <w:rPr>
          <w:rFonts w:cs="Angsana New"/>
          <w:sz w:val="22"/>
          <w:lang w:bidi="th-TH"/>
        </w:rPr>
        <w:t xml:space="preserve"> </w:t>
      </w:r>
      <w:r w:rsidR="00BA1C7A">
        <w:rPr>
          <w:rFonts w:cs="Angsana New"/>
          <w:sz w:val="22"/>
          <w:lang w:bidi="th-TH"/>
        </w:rPr>
        <w:t>September</w:t>
      </w:r>
      <w:r w:rsidR="00EB70FB" w:rsidRPr="001B62E3">
        <w:rPr>
          <w:rFonts w:cs="Angsana New"/>
          <w:sz w:val="22"/>
          <w:lang w:bidi="th-TH"/>
        </w:rPr>
        <w:t xml:space="preserve"> 20</w:t>
      </w:r>
      <w:r w:rsidR="00E11D94" w:rsidRPr="001B62E3">
        <w:rPr>
          <w:rFonts w:cs="Angsana New"/>
          <w:sz w:val="22"/>
          <w:lang w:bidi="th-TH"/>
        </w:rPr>
        <w:t>20</w:t>
      </w:r>
      <w:r w:rsidR="00C470C1" w:rsidRPr="001B62E3">
        <w:rPr>
          <w:rFonts w:cs="Angsana New"/>
          <w:sz w:val="22"/>
          <w:lang w:bidi="th-TH"/>
        </w:rPr>
        <w:t>;</w:t>
      </w:r>
      <w:r w:rsidR="00EB70FB" w:rsidRPr="001B62E3">
        <w:rPr>
          <w:rFonts w:cs="Angsana New"/>
          <w:sz w:val="22"/>
          <w:lang w:bidi="th-TH"/>
        </w:rPr>
        <w:t xml:space="preserve"> </w:t>
      </w:r>
      <w:r w:rsidR="005B02CE" w:rsidRPr="001B62E3">
        <w:rPr>
          <w:rFonts w:cs="Angsana New"/>
          <w:sz w:val="22"/>
          <w:lang w:bidi="th-TH"/>
        </w:rPr>
        <w:t>the</w:t>
      </w:r>
      <w:r w:rsidR="00CD1A8F" w:rsidRPr="001B62E3">
        <w:rPr>
          <w:rFonts w:cs="Angsana New"/>
          <w:sz w:val="22"/>
          <w:lang w:bidi="th-TH"/>
        </w:rPr>
        <w:t xml:space="preserve"> </w:t>
      </w:r>
      <w:r w:rsidR="00496F50" w:rsidRPr="001B62E3">
        <w:rPr>
          <w:rFonts w:cs="Angsana New"/>
          <w:sz w:val="22"/>
          <w:lang w:bidi="th-TH"/>
        </w:rPr>
        <w:t xml:space="preserve">related </w:t>
      </w:r>
      <w:r w:rsidR="000D03F4" w:rsidRPr="001B62E3">
        <w:rPr>
          <w:rFonts w:cs="Angsana New"/>
          <w:sz w:val="22"/>
          <w:lang w:bidi="th-TH"/>
        </w:rPr>
        <w:t>statement of income</w:t>
      </w:r>
      <w:r w:rsidR="007F6B09" w:rsidRPr="001B62E3">
        <w:rPr>
          <w:rFonts w:cs="Angsana New" w:hint="cs"/>
          <w:sz w:val="22"/>
          <w:cs/>
          <w:lang w:bidi="th-TH"/>
        </w:rPr>
        <w:t xml:space="preserve"> </w:t>
      </w:r>
      <w:r w:rsidR="007F6B09" w:rsidRPr="001B62E3">
        <w:rPr>
          <w:rFonts w:cs="Angsana New"/>
          <w:sz w:val="22"/>
          <w:lang w:bidi="th-TH"/>
        </w:rPr>
        <w:t>in which the equity method is applied and separate statement of income</w:t>
      </w:r>
      <w:r w:rsidR="004E2286" w:rsidRPr="001B62E3">
        <w:rPr>
          <w:rFonts w:cs="Angsana New"/>
          <w:sz w:val="22"/>
          <w:lang w:bidi="th-TH"/>
        </w:rPr>
        <w:t xml:space="preserve">, </w:t>
      </w:r>
      <w:r w:rsidR="007F6B09" w:rsidRPr="001B62E3">
        <w:rPr>
          <w:rFonts w:cs="Angsana New"/>
          <w:sz w:val="22"/>
          <w:lang w:bidi="th-TH"/>
        </w:rPr>
        <w:t xml:space="preserve">the statement of </w:t>
      </w:r>
      <w:r w:rsidR="00EB70FB" w:rsidRPr="001B62E3">
        <w:rPr>
          <w:rFonts w:cs="Angsana New"/>
          <w:sz w:val="22"/>
          <w:lang w:bidi="th-TH"/>
        </w:rPr>
        <w:t xml:space="preserve">comprehensive </w:t>
      </w:r>
      <w:r w:rsidR="005B02CE" w:rsidRPr="001B62E3">
        <w:rPr>
          <w:rFonts w:cs="Angsana New"/>
          <w:sz w:val="22"/>
          <w:lang w:bidi="th-TH"/>
        </w:rPr>
        <w:t>income</w:t>
      </w:r>
      <w:r w:rsidR="007F6B09" w:rsidRPr="001B62E3">
        <w:rPr>
          <w:rFonts w:cs="Angsana New"/>
          <w:sz w:val="22"/>
          <w:lang w:bidi="th-TH"/>
        </w:rPr>
        <w:t xml:space="preserve"> in which the equity method is applied</w:t>
      </w:r>
      <w:r w:rsidR="00732025" w:rsidRPr="001B62E3">
        <w:rPr>
          <w:rFonts w:cs="Angsana New"/>
          <w:sz w:val="22"/>
          <w:lang w:bidi="th-TH"/>
        </w:rPr>
        <w:t xml:space="preserve"> and separate statement of comprehensive income</w:t>
      </w:r>
      <w:r w:rsidR="005D5F77">
        <w:rPr>
          <w:rFonts w:cs="Angsana New"/>
          <w:sz w:val="22"/>
          <w:lang w:bidi="th-TH"/>
        </w:rPr>
        <w:t xml:space="preserve"> for the three-month and six-month periods ended 30 September 2020</w:t>
      </w:r>
      <w:r w:rsidR="005B02CE" w:rsidRPr="001B62E3">
        <w:rPr>
          <w:rFonts w:cs="Angsana New"/>
          <w:sz w:val="22"/>
          <w:lang w:bidi="th-TH"/>
        </w:rPr>
        <w:t xml:space="preserve">, </w:t>
      </w:r>
      <w:r w:rsidR="00732025" w:rsidRPr="001B62E3">
        <w:rPr>
          <w:rFonts w:cs="Angsana New"/>
          <w:sz w:val="22"/>
          <w:lang w:bidi="th-TH"/>
        </w:rPr>
        <w:t xml:space="preserve">the statement of </w:t>
      </w:r>
      <w:r w:rsidR="005B02CE" w:rsidRPr="001B62E3">
        <w:rPr>
          <w:rFonts w:cs="Angsana New"/>
          <w:sz w:val="22"/>
          <w:lang w:bidi="th-TH"/>
        </w:rPr>
        <w:t xml:space="preserve">changes in equity </w:t>
      </w:r>
      <w:r w:rsidR="00732025" w:rsidRPr="001B62E3">
        <w:rPr>
          <w:rFonts w:cs="Angsana New"/>
          <w:sz w:val="22"/>
          <w:lang w:bidi="th-TH"/>
        </w:rPr>
        <w:t xml:space="preserve">in which the equity method is applied and separate statement of changes in equity </w:t>
      </w:r>
      <w:r w:rsidR="005B02CE" w:rsidRPr="001B62E3">
        <w:rPr>
          <w:rFonts w:cs="Angsana New"/>
          <w:sz w:val="22"/>
          <w:lang w:bidi="th-TH"/>
        </w:rPr>
        <w:t xml:space="preserve">and </w:t>
      </w:r>
      <w:r w:rsidR="00732025" w:rsidRPr="001B62E3">
        <w:rPr>
          <w:rFonts w:cs="Angsana New"/>
          <w:sz w:val="22"/>
          <w:lang w:bidi="th-TH"/>
        </w:rPr>
        <w:t xml:space="preserve">the statement of </w:t>
      </w:r>
      <w:r w:rsidR="005B02CE" w:rsidRPr="001B62E3">
        <w:rPr>
          <w:rFonts w:cs="Angsana New"/>
          <w:sz w:val="22"/>
          <w:lang w:bidi="th-TH"/>
        </w:rPr>
        <w:t xml:space="preserve">cash flows </w:t>
      </w:r>
      <w:r w:rsidR="00732025" w:rsidRPr="001B62E3">
        <w:rPr>
          <w:rFonts w:cs="Angsana New"/>
          <w:sz w:val="22"/>
          <w:lang w:bidi="th-TH"/>
        </w:rPr>
        <w:t xml:space="preserve">in which the equity method is applied and the separate statement of cash flows </w:t>
      </w:r>
      <w:r w:rsidR="005B02CE" w:rsidRPr="001B62E3">
        <w:rPr>
          <w:rFonts w:cs="Angsana New"/>
          <w:sz w:val="22"/>
          <w:lang w:bidi="th-TH"/>
        </w:rPr>
        <w:t xml:space="preserve">for the </w:t>
      </w:r>
      <w:r w:rsidR="00BA1C7A">
        <w:rPr>
          <w:rFonts w:cs="Angsana New"/>
          <w:sz w:val="22"/>
          <w:lang w:bidi="th-TH"/>
        </w:rPr>
        <w:t>six</w:t>
      </w:r>
      <w:r w:rsidR="00B9249F" w:rsidRPr="001B62E3">
        <w:rPr>
          <w:rFonts w:cs="Angsana New"/>
          <w:sz w:val="22"/>
          <w:lang w:bidi="th-TH"/>
        </w:rPr>
        <w:t>-</w:t>
      </w:r>
      <w:r w:rsidRPr="001B62E3">
        <w:rPr>
          <w:rFonts w:cs="Angsana New"/>
          <w:sz w:val="22"/>
          <w:lang w:bidi="th-TH"/>
        </w:rPr>
        <w:t>month period ended 3</w:t>
      </w:r>
      <w:r w:rsidR="00501C2D" w:rsidRPr="001B62E3">
        <w:rPr>
          <w:rFonts w:cs="Angsana New"/>
          <w:sz w:val="22"/>
          <w:lang w:bidi="th-TH"/>
        </w:rPr>
        <w:t>0</w:t>
      </w:r>
      <w:r w:rsidRPr="001B62E3">
        <w:rPr>
          <w:rFonts w:cs="Angsana New"/>
          <w:sz w:val="22"/>
          <w:lang w:bidi="th-TH"/>
        </w:rPr>
        <w:t xml:space="preserve"> </w:t>
      </w:r>
      <w:r w:rsidR="00BA1C7A">
        <w:rPr>
          <w:rFonts w:cs="Angsana New"/>
          <w:sz w:val="22"/>
          <w:lang w:bidi="th-TH"/>
        </w:rPr>
        <w:t>September</w:t>
      </w:r>
      <w:r w:rsidRPr="001B62E3">
        <w:rPr>
          <w:rFonts w:cs="Angsana New"/>
          <w:sz w:val="22"/>
          <w:lang w:bidi="th-TH"/>
        </w:rPr>
        <w:t xml:space="preserve"> 20</w:t>
      </w:r>
      <w:r w:rsidR="00E11D94" w:rsidRPr="001B62E3">
        <w:rPr>
          <w:rFonts w:cs="Angsana New"/>
          <w:sz w:val="22"/>
          <w:lang w:bidi="th-TH"/>
        </w:rPr>
        <w:t>20</w:t>
      </w:r>
      <w:r w:rsidR="00C470C1" w:rsidRPr="001B62E3">
        <w:rPr>
          <w:rFonts w:cs="Angsana New"/>
          <w:sz w:val="22"/>
          <w:lang w:bidi="th-TH"/>
        </w:rPr>
        <w:t>;</w:t>
      </w:r>
      <w:r w:rsidR="00A05F3D" w:rsidRPr="001B62E3">
        <w:rPr>
          <w:rFonts w:cs="Angsana New"/>
          <w:sz w:val="22"/>
          <w:lang w:bidi="th-TH"/>
        </w:rPr>
        <w:t xml:space="preserve"> and condensed notes</w:t>
      </w:r>
      <w:r w:rsidR="002034B2" w:rsidRPr="001B62E3">
        <w:rPr>
          <w:rFonts w:cs="Angsana New"/>
          <w:sz w:val="22"/>
          <w:lang w:bidi="th-TH"/>
        </w:rPr>
        <w:t xml:space="preserve"> </w:t>
      </w:r>
      <w:r w:rsidR="00DF76E5" w:rsidRPr="001B62E3">
        <w:rPr>
          <w:rFonts w:cs="Angsana New"/>
          <w:sz w:val="22"/>
          <w:lang w:bidi="th-TH"/>
        </w:rPr>
        <w:t>(“interim financial information”)</w:t>
      </w:r>
      <w:r w:rsidR="00A05F3D" w:rsidRPr="001B62E3">
        <w:rPr>
          <w:rFonts w:cs="Angsana New"/>
          <w:sz w:val="22"/>
          <w:lang w:bidi="th-TH"/>
        </w:rPr>
        <w:t>.</w:t>
      </w:r>
      <w:r w:rsidRPr="001B62E3">
        <w:rPr>
          <w:rFonts w:cs="Angsana New"/>
          <w:i/>
          <w:iCs/>
          <w:sz w:val="22"/>
          <w:lang w:bidi="th-TH"/>
        </w:rPr>
        <w:t xml:space="preserve"> </w:t>
      </w:r>
      <w:r w:rsidRPr="001B62E3">
        <w:rPr>
          <w:sz w:val="22"/>
          <w:szCs w:val="22"/>
        </w:rPr>
        <w:t xml:space="preserve">Management is responsible for the preparation </w:t>
      </w:r>
      <w:r w:rsidR="007D2BF8" w:rsidRPr="001B62E3">
        <w:rPr>
          <w:sz w:val="22"/>
          <w:szCs w:val="22"/>
        </w:rPr>
        <w:t>and</w:t>
      </w:r>
      <w:r w:rsidRPr="001B62E3">
        <w:rPr>
          <w:sz w:val="22"/>
          <w:szCs w:val="22"/>
        </w:rPr>
        <w:t xml:space="preserve"> presentation of </w:t>
      </w:r>
      <w:r w:rsidR="00F60D1E" w:rsidRPr="001B62E3">
        <w:rPr>
          <w:sz w:val="22"/>
          <w:szCs w:val="22"/>
        </w:rPr>
        <w:t>this</w:t>
      </w:r>
      <w:r w:rsidR="00CD1A8F" w:rsidRPr="001B62E3">
        <w:rPr>
          <w:sz w:val="22"/>
          <w:szCs w:val="22"/>
        </w:rPr>
        <w:t xml:space="preserve"> </w:t>
      </w:r>
      <w:r w:rsidR="00DF76E5" w:rsidRPr="001B62E3">
        <w:rPr>
          <w:sz w:val="22"/>
          <w:szCs w:val="22"/>
        </w:rPr>
        <w:t xml:space="preserve">interim financial </w:t>
      </w:r>
      <w:r w:rsidR="00F60D1E" w:rsidRPr="001B62E3">
        <w:rPr>
          <w:sz w:val="22"/>
          <w:szCs w:val="22"/>
        </w:rPr>
        <w:t>information</w:t>
      </w:r>
      <w:r w:rsidRPr="001B62E3">
        <w:rPr>
          <w:sz w:val="22"/>
          <w:szCs w:val="22"/>
        </w:rPr>
        <w:t xml:space="preserve"> in accordance with </w:t>
      </w:r>
      <w:r w:rsidR="004B6F2D" w:rsidRPr="001B62E3">
        <w:rPr>
          <w:sz w:val="22"/>
          <w:szCs w:val="22"/>
        </w:rPr>
        <w:t>T</w:t>
      </w:r>
      <w:r w:rsidR="00571EBD" w:rsidRPr="001B62E3">
        <w:rPr>
          <w:sz w:val="22"/>
          <w:szCs w:val="22"/>
        </w:rPr>
        <w:t xml:space="preserve">hai </w:t>
      </w:r>
      <w:r w:rsidR="004B6F2D" w:rsidRPr="001B62E3">
        <w:rPr>
          <w:sz w:val="22"/>
          <w:szCs w:val="22"/>
        </w:rPr>
        <w:t>A</w:t>
      </w:r>
      <w:r w:rsidR="00571EBD" w:rsidRPr="001B62E3">
        <w:rPr>
          <w:sz w:val="22"/>
          <w:szCs w:val="22"/>
        </w:rPr>
        <w:t xml:space="preserve">ccounting </w:t>
      </w:r>
      <w:r w:rsidR="004B6F2D" w:rsidRPr="001B62E3">
        <w:rPr>
          <w:sz w:val="22"/>
          <w:szCs w:val="22"/>
        </w:rPr>
        <w:t>S</w:t>
      </w:r>
      <w:r w:rsidR="00571EBD" w:rsidRPr="001B62E3">
        <w:rPr>
          <w:sz w:val="22"/>
          <w:szCs w:val="22"/>
        </w:rPr>
        <w:t>tandard</w:t>
      </w:r>
      <w:r w:rsidR="004B6F2D" w:rsidRPr="001B62E3">
        <w:rPr>
          <w:sz w:val="22"/>
          <w:szCs w:val="22"/>
        </w:rPr>
        <w:t xml:space="preserve"> 34, “Interim Financial Reporting”</w:t>
      </w:r>
      <w:r w:rsidRPr="001B62E3">
        <w:rPr>
          <w:sz w:val="22"/>
          <w:szCs w:val="22"/>
        </w:rPr>
        <w:t xml:space="preserve">. My responsibility is to express a conclusion on </w:t>
      </w:r>
      <w:r w:rsidR="00F60D1E" w:rsidRPr="001B62E3">
        <w:rPr>
          <w:sz w:val="22"/>
          <w:szCs w:val="22"/>
        </w:rPr>
        <w:t>this</w:t>
      </w:r>
      <w:r w:rsidR="00CD1A8F" w:rsidRPr="001B62E3">
        <w:rPr>
          <w:sz w:val="22"/>
          <w:szCs w:val="22"/>
        </w:rPr>
        <w:t xml:space="preserve"> </w:t>
      </w:r>
      <w:r w:rsidR="00DF76E5" w:rsidRPr="001B62E3">
        <w:rPr>
          <w:sz w:val="22"/>
          <w:szCs w:val="22"/>
        </w:rPr>
        <w:t xml:space="preserve">interim financial </w:t>
      </w:r>
      <w:r w:rsidR="00F60D1E" w:rsidRPr="001B62E3">
        <w:rPr>
          <w:sz w:val="22"/>
          <w:szCs w:val="22"/>
        </w:rPr>
        <w:t>information</w:t>
      </w:r>
      <w:r w:rsidRPr="001B62E3">
        <w:rPr>
          <w:sz w:val="22"/>
          <w:szCs w:val="22"/>
        </w:rPr>
        <w:t xml:space="preserve"> based on </w:t>
      </w:r>
      <w:r w:rsidR="00501C2D" w:rsidRPr="001B62E3">
        <w:rPr>
          <w:sz w:val="22"/>
          <w:szCs w:val="22"/>
        </w:rPr>
        <w:t>my</w:t>
      </w:r>
      <w:r w:rsidRPr="001B62E3">
        <w:rPr>
          <w:sz w:val="22"/>
          <w:szCs w:val="22"/>
        </w:rPr>
        <w:t xml:space="preserve"> review.</w:t>
      </w:r>
    </w:p>
    <w:p w14:paraId="3F2B65D7" w14:textId="77777777" w:rsidR="005B02CE" w:rsidRPr="005B032F" w:rsidRDefault="005B02CE" w:rsidP="00FF7F38">
      <w:pPr>
        <w:pStyle w:val="RNormal"/>
        <w:ind w:left="-540"/>
        <w:rPr>
          <w:sz w:val="18"/>
          <w:szCs w:val="20"/>
        </w:rPr>
      </w:pPr>
    </w:p>
    <w:p w14:paraId="7EEED0A7" w14:textId="77777777" w:rsidR="00F2699A" w:rsidRPr="003B2993" w:rsidRDefault="00157995" w:rsidP="00FF7F38">
      <w:pPr>
        <w:ind w:left="-540"/>
        <w:jc w:val="both"/>
        <w:rPr>
          <w:i/>
          <w:sz w:val="22"/>
        </w:rPr>
      </w:pPr>
      <w:r w:rsidRPr="003B2993">
        <w:rPr>
          <w:i/>
          <w:sz w:val="22"/>
        </w:rPr>
        <w:t>Scope of Review</w:t>
      </w:r>
    </w:p>
    <w:p w14:paraId="2AC797EC" w14:textId="77777777" w:rsidR="00157995" w:rsidRPr="005B032F" w:rsidRDefault="00157995" w:rsidP="00FF7F38">
      <w:pPr>
        <w:ind w:left="-540"/>
        <w:jc w:val="both"/>
        <w:rPr>
          <w:sz w:val="18"/>
          <w:szCs w:val="20"/>
        </w:rPr>
      </w:pPr>
    </w:p>
    <w:p w14:paraId="461BF8F3" w14:textId="7B340621" w:rsidR="00157995" w:rsidRPr="003B2993" w:rsidRDefault="00501C2D" w:rsidP="00FF7F38">
      <w:pPr>
        <w:ind w:left="-540"/>
        <w:jc w:val="both"/>
        <w:rPr>
          <w:sz w:val="22"/>
          <w:szCs w:val="22"/>
        </w:rPr>
      </w:pPr>
      <w:r w:rsidRPr="003B2993">
        <w:rPr>
          <w:sz w:val="22"/>
        </w:rPr>
        <w:t xml:space="preserve">Except as described in the following paragraph, </w:t>
      </w:r>
      <w:r w:rsidR="00157995" w:rsidRPr="003B2993">
        <w:rPr>
          <w:sz w:val="22"/>
        </w:rPr>
        <w:t xml:space="preserve">I conducted my review in accordance with </w:t>
      </w:r>
      <w:r w:rsidR="00571EBD" w:rsidRPr="003B2993">
        <w:rPr>
          <w:sz w:val="22"/>
        </w:rPr>
        <w:t>Thai</w:t>
      </w:r>
      <w:r w:rsidR="00157995" w:rsidRPr="003B2993">
        <w:rPr>
          <w:sz w:val="22"/>
        </w:rPr>
        <w:t xml:space="preserve"> Standard on Review Engagements 2410, “Review of Interim Financial Information Performed by the Independent Auditor of the Entity”.</w:t>
      </w:r>
      <w:r w:rsidR="0093564E" w:rsidRPr="003B2993">
        <w:rPr>
          <w:sz w:val="22"/>
        </w:rPr>
        <w:t xml:space="preserve"> </w:t>
      </w:r>
      <w:r w:rsidR="00157995" w:rsidRPr="003B2993">
        <w:rPr>
          <w:sz w:val="22"/>
        </w:rPr>
        <w:t xml:space="preserve">A review of interim financial </w:t>
      </w:r>
      <w:r w:rsidR="00F60D1E" w:rsidRPr="003B2993">
        <w:rPr>
          <w:sz w:val="22"/>
          <w:szCs w:val="22"/>
        </w:rPr>
        <w:t>information</w:t>
      </w:r>
      <w:r w:rsidR="00157995" w:rsidRPr="003B2993">
        <w:rPr>
          <w:sz w:val="22"/>
          <w:szCs w:val="22"/>
        </w:rPr>
        <w:t xml:space="preserve"> consists of making inquiries, primarily of persons responsible for financial and accounting matters, and applying analytical and other review procedures. A review is substantially less in scope than an audit conducted </w:t>
      </w:r>
      <w:r w:rsidR="0093564E" w:rsidRPr="003B2993">
        <w:rPr>
          <w:sz w:val="22"/>
          <w:szCs w:val="22"/>
        </w:rPr>
        <w:t xml:space="preserve">in accordance with </w:t>
      </w:r>
      <w:r w:rsidR="00571EBD" w:rsidRPr="003B2993">
        <w:rPr>
          <w:sz w:val="22"/>
          <w:szCs w:val="22"/>
        </w:rPr>
        <w:t xml:space="preserve">Thai </w:t>
      </w:r>
      <w:r w:rsidR="00157995" w:rsidRPr="003B2993">
        <w:rPr>
          <w:sz w:val="22"/>
          <w:szCs w:val="22"/>
        </w:rPr>
        <w:t>Standards on Auditing and</w:t>
      </w:r>
      <w:r w:rsidR="00AE0519" w:rsidRPr="003B2993">
        <w:rPr>
          <w:sz w:val="22"/>
          <w:szCs w:val="22"/>
        </w:rPr>
        <w:t xml:space="preserve"> consequently does not enable </w:t>
      </w:r>
      <w:r w:rsidR="00AE0519" w:rsidRPr="003B2993">
        <w:rPr>
          <w:rFonts w:cs="Angsana New"/>
          <w:sz w:val="22"/>
          <w:szCs w:val="28"/>
          <w:lang w:bidi="th-TH"/>
        </w:rPr>
        <w:t>me</w:t>
      </w:r>
      <w:r w:rsidR="00AE0519" w:rsidRPr="003B2993">
        <w:rPr>
          <w:sz w:val="22"/>
          <w:szCs w:val="22"/>
        </w:rPr>
        <w:t xml:space="preserve"> to obtain assurance that I</w:t>
      </w:r>
      <w:r w:rsidR="00157995" w:rsidRPr="003B2993">
        <w:rPr>
          <w:sz w:val="22"/>
          <w:szCs w:val="22"/>
        </w:rPr>
        <w:t xml:space="preserve"> would become aware of all significant matters that might be identif</w:t>
      </w:r>
      <w:r w:rsidR="0093564E" w:rsidRPr="003B2993">
        <w:rPr>
          <w:sz w:val="22"/>
          <w:szCs w:val="22"/>
        </w:rPr>
        <w:t xml:space="preserve">ied in an audit. Accordingly, </w:t>
      </w:r>
      <w:r w:rsidR="0093564E" w:rsidRPr="003B2993">
        <w:rPr>
          <w:rFonts w:cstheme="minorBidi"/>
          <w:sz w:val="22"/>
          <w:szCs w:val="28"/>
          <w:lang w:bidi="th-TH"/>
        </w:rPr>
        <w:t>I</w:t>
      </w:r>
      <w:r w:rsidR="00157995" w:rsidRPr="003B2993">
        <w:rPr>
          <w:sz w:val="22"/>
          <w:szCs w:val="22"/>
        </w:rPr>
        <w:t xml:space="preserve"> do not express an audit opinion.</w:t>
      </w:r>
    </w:p>
    <w:p w14:paraId="4BB13A95" w14:textId="6C4D8FCF" w:rsidR="00AE3285" w:rsidRPr="005B032F" w:rsidRDefault="00AE3285" w:rsidP="00FF7F38">
      <w:pPr>
        <w:ind w:left="-540"/>
        <w:jc w:val="both"/>
        <w:rPr>
          <w:sz w:val="18"/>
          <w:szCs w:val="18"/>
        </w:rPr>
      </w:pPr>
    </w:p>
    <w:p w14:paraId="7692DC60" w14:textId="5B970B77" w:rsidR="00AC5F9E" w:rsidRPr="003B2993" w:rsidRDefault="00AC5F9E" w:rsidP="00FF7F38">
      <w:pPr>
        <w:ind w:left="-540"/>
        <w:jc w:val="both"/>
        <w:rPr>
          <w:i/>
          <w:iCs/>
          <w:sz w:val="22"/>
          <w:szCs w:val="22"/>
        </w:rPr>
      </w:pPr>
      <w:r w:rsidRPr="003B2993">
        <w:rPr>
          <w:i/>
          <w:iCs/>
          <w:sz w:val="22"/>
          <w:szCs w:val="22"/>
        </w:rPr>
        <w:t>Basis for qualified conclusion</w:t>
      </w:r>
    </w:p>
    <w:p w14:paraId="29842AFB" w14:textId="77777777" w:rsidR="00AA246D" w:rsidRPr="005B032F" w:rsidRDefault="00AA246D" w:rsidP="00FF7F38">
      <w:pPr>
        <w:ind w:left="-540"/>
        <w:jc w:val="both"/>
        <w:rPr>
          <w:sz w:val="18"/>
          <w:szCs w:val="18"/>
        </w:rPr>
      </w:pPr>
    </w:p>
    <w:p w14:paraId="61E3C370" w14:textId="2253388E" w:rsidR="00B70C96" w:rsidRDefault="00AC5F9E" w:rsidP="004A557A">
      <w:pPr>
        <w:ind w:left="-540"/>
        <w:jc w:val="both"/>
        <w:rPr>
          <w:rFonts w:cstheme="minorBidi"/>
          <w:sz w:val="22"/>
          <w:szCs w:val="28"/>
          <w:lang w:bidi="th-TH"/>
        </w:rPr>
        <w:sectPr w:rsidR="00B70C96" w:rsidSect="005B032F">
          <w:footerReference w:type="default" r:id="rId8"/>
          <w:pgSz w:w="11906" w:h="16838" w:code="9"/>
          <w:pgMar w:top="1440" w:right="1466" w:bottom="900" w:left="1800" w:header="720" w:footer="0" w:gutter="0"/>
          <w:cols w:space="720"/>
          <w:docGrid w:linePitch="360"/>
        </w:sectPr>
      </w:pPr>
      <w:r w:rsidRPr="003B2993">
        <w:rPr>
          <w:sz w:val="22"/>
          <w:szCs w:val="22"/>
        </w:rPr>
        <w:t xml:space="preserve">The Company has an investment in an associate, Thai Polyphosphate </w:t>
      </w:r>
      <w:r w:rsidR="001A3BD7">
        <w:rPr>
          <w:sz w:val="22"/>
          <w:szCs w:val="22"/>
        </w:rPr>
        <w:t>&amp;</w:t>
      </w:r>
      <w:r w:rsidRPr="003B2993">
        <w:rPr>
          <w:sz w:val="22"/>
          <w:szCs w:val="22"/>
        </w:rPr>
        <w:t xml:space="preserve"> Chemicals Company Limited </w:t>
      </w:r>
      <w:r w:rsidR="001A3BD7">
        <w:rPr>
          <w:sz w:val="22"/>
          <w:szCs w:val="22"/>
        </w:rPr>
        <w:t xml:space="preserve">(“TPC”) </w:t>
      </w:r>
      <w:r w:rsidRPr="003B2993">
        <w:rPr>
          <w:sz w:val="22"/>
          <w:szCs w:val="22"/>
        </w:rPr>
        <w:t>(in which the Company holds</w:t>
      </w:r>
      <w:r w:rsidR="00805E61">
        <w:rPr>
          <w:sz w:val="22"/>
          <w:szCs w:val="22"/>
        </w:rPr>
        <w:t xml:space="preserve"> a</w:t>
      </w:r>
      <w:r w:rsidRPr="003B2993">
        <w:rPr>
          <w:sz w:val="22"/>
          <w:szCs w:val="22"/>
        </w:rPr>
        <w:t xml:space="preserve"> 49.00% interest),</w:t>
      </w:r>
      <w:r w:rsidR="000E0C1B">
        <w:rPr>
          <w:rFonts w:cstheme="minorBidi" w:hint="cs"/>
          <w:sz w:val="22"/>
          <w:szCs w:val="28"/>
          <w:cs/>
          <w:lang w:bidi="th-TH"/>
        </w:rPr>
        <w:t xml:space="preserve"> </w:t>
      </w:r>
      <w:r w:rsidR="004A557A">
        <w:rPr>
          <w:sz w:val="22"/>
          <w:szCs w:val="22"/>
        </w:rPr>
        <w:t>accounted for using equity method</w:t>
      </w:r>
      <w:r w:rsidRPr="003B2993">
        <w:rPr>
          <w:sz w:val="22"/>
          <w:szCs w:val="22"/>
        </w:rPr>
        <w:t xml:space="preserve"> amounting to Baht 3,</w:t>
      </w:r>
      <w:r w:rsidR="00BA1C7A">
        <w:rPr>
          <w:sz w:val="22"/>
          <w:szCs w:val="22"/>
        </w:rPr>
        <w:t>36</w:t>
      </w:r>
      <w:r w:rsidR="005D5F77">
        <w:rPr>
          <w:sz w:val="22"/>
          <w:szCs w:val="22"/>
        </w:rPr>
        <w:t>7</w:t>
      </w:r>
      <w:r w:rsidRPr="003B2993">
        <w:rPr>
          <w:sz w:val="22"/>
          <w:szCs w:val="22"/>
        </w:rPr>
        <w:t xml:space="preserve"> million</w:t>
      </w:r>
      <w:r w:rsidR="00FA21A0">
        <w:rPr>
          <w:sz w:val="22"/>
          <w:szCs w:val="22"/>
        </w:rPr>
        <w:t xml:space="preserve"> which is included in investments in associates in the statement of financial position in which the equity method is applied</w:t>
      </w:r>
      <w:r w:rsidR="00D078D2">
        <w:rPr>
          <w:rFonts w:cstheme="minorBidi" w:hint="cs"/>
          <w:sz w:val="22"/>
          <w:szCs w:val="28"/>
          <w:cs/>
          <w:lang w:bidi="th-TH"/>
        </w:rPr>
        <w:t xml:space="preserve"> </w:t>
      </w:r>
      <w:r w:rsidRPr="003B2993">
        <w:rPr>
          <w:sz w:val="22"/>
          <w:szCs w:val="22"/>
        </w:rPr>
        <w:t xml:space="preserve">as at 30 </w:t>
      </w:r>
      <w:r w:rsidR="00BA1C7A">
        <w:rPr>
          <w:sz w:val="22"/>
          <w:szCs w:val="22"/>
        </w:rPr>
        <w:t>September</w:t>
      </w:r>
      <w:r w:rsidRPr="003B2993">
        <w:rPr>
          <w:sz w:val="22"/>
          <w:szCs w:val="22"/>
        </w:rPr>
        <w:t xml:space="preserve"> 2020</w:t>
      </w:r>
      <w:r w:rsidR="0054037C">
        <w:rPr>
          <w:rFonts w:cstheme="minorBidi"/>
          <w:sz w:val="22"/>
          <w:szCs w:val="28"/>
          <w:lang w:bidi="th-TH"/>
        </w:rPr>
        <w:t xml:space="preserve"> and has</w:t>
      </w:r>
      <w:r w:rsidR="00A81E87">
        <w:rPr>
          <w:rFonts w:cstheme="minorBidi"/>
          <w:sz w:val="22"/>
          <w:szCs w:val="28"/>
          <w:lang w:bidi="th-TH"/>
        </w:rPr>
        <w:t xml:space="preserve"> </w:t>
      </w:r>
      <w:r w:rsidR="00D078D2">
        <w:rPr>
          <w:rFonts w:cstheme="minorBidi"/>
          <w:sz w:val="22"/>
          <w:szCs w:val="28"/>
          <w:lang w:bidi="th-TH"/>
        </w:rPr>
        <w:t xml:space="preserve">share of </w:t>
      </w:r>
      <w:r w:rsidR="00036D3F">
        <w:rPr>
          <w:rFonts w:cstheme="minorBidi"/>
          <w:sz w:val="22"/>
          <w:szCs w:val="28"/>
          <w:lang w:bidi="th-TH"/>
        </w:rPr>
        <w:t>profit</w:t>
      </w:r>
      <w:r w:rsidR="00D078D2">
        <w:rPr>
          <w:rFonts w:cstheme="minorBidi"/>
          <w:sz w:val="22"/>
          <w:szCs w:val="28"/>
          <w:lang w:bidi="th-TH"/>
        </w:rPr>
        <w:t xml:space="preserve"> of</w:t>
      </w:r>
      <w:r w:rsidR="00FA21A0">
        <w:rPr>
          <w:rFonts w:cstheme="minorBidi"/>
          <w:sz w:val="22"/>
          <w:szCs w:val="28"/>
          <w:lang w:bidi="th-TH"/>
        </w:rPr>
        <w:t xml:space="preserve"> </w:t>
      </w:r>
      <w:r w:rsidR="00D078D2">
        <w:rPr>
          <w:rFonts w:cstheme="minorBidi"/>
          <w:sz w:val="22"/>
          <w:szCs w:val="28"/>
          <w:lang w:bidi="th-TH"/>
        </w:rPr>
        <w:t xml:space="preserve">associates accounted for using equity method </w:t>
      </w:r>
      <w:r w:rsidR="0054037C">
        <w:rPr>
          <w:rFonts w:cstheme="minorBidi"/>
          <w:sz w:val="22"/>
          <w:szCs w:val="28"/>
          <w:lang w:bidi="th-TH"/>
        </w:rPr>
        <w:t xml:space="preserve">and </w:t>
      </w:r>
      <w:r w:rsidR="0054037C">
        <w:rPr>
          <w:sz w:val="22"/>
          <w:szCs w:val="22"/>
        </w:rPr>
        <w:t>exchange differences on translating financial statements</w:t>
      </w:r>
      <w:r w:rsidR="0054037C">
        <w:rPr>
          <w:rFonts w:cstheme="minorBidi"/>
          <w:sz w:val="22"/>
          <w:szCs w:val="28"/>
          <w:lang w:bidi="th-TH"/>
        </w:rPr>
        <w:t xml:space="preserve"> </w:t>
      </w:r>
      <w:r w:rsidR="00B908DB">
        <w:rPr>
          <w:rFonts w:cstheme="minorBidi"/>
          <w:sz w:val="22"/>
          <w:szCs w:val="28"/>
          <w:lang w:bidi="th-TH"/>
        </w:rPr>
        <w:t xml:space="preserve">from this associate </w:t>
      </w:r>
      <w:r w:rsidR="0054037C">
        <w:rPr>
          <w:rFonts w:cstheme="minorBidi"/>
          <w:sz w:val="22"/>
          <w:szCs w:val="28"/>
          <w:lang w:bidi="th-TH"/>
        </w:rPr>
        <w:t xml:space="preserve">for the three-month period then ended </w:t>
      </w:r>
      <w:r w:rsidR="00D078D2">
        <w:rPr>
          <w:rFonts w:cstheme="minorBidi"/>
          <w:sz w:val="22"/>
          <w:szCs w:val="28"/>
          <w:lang w:bidi="th-TH"/>
        </w:rPr>
        <w:t xml:space="preserve">amounting to Baht </w:t>
      </w:r>
      <w:r w:rsidR="00036D3F">
        <w:rPr>
          <w:rFonts w:cstheme="minorBidi"/>
          <w:sz w:val="22"/>
          <w:szCs w:val="28"/>
          <w:lang w:bidi="th-TH"/>
        </w:rPr>
        <w:t>79</w:t>
      </w:r>
      <w:r w:rsidR="00A81E87">
        <w:rPr>
          <w:rFonts w:cstheme="minorBidi"/>
          <w:sz w:val="22"/>
          <w:szCs w:val="28"/>
          <w:lang w:bidi="th-TH"/>
        </w:rPr>
        <w:t xml:space="preserve"> million</w:t>
      </w:r>
      <w:r w:rsidR="0054037C">
        <w:rPr>
          <w:rFonts w:cstheme="minorBidi"/>
          <w:sz w:val="22"/>
          <w:szCs w:val="28"/>
          <w:lang w:bidi="th-TH"/>
        </w:rPr>
        <w:t xml:space="preserve"> and Baht </w:t>
      </w:r>
      <w:r w:rsidR="00036D3F">
        <w:rPr>
          <w:rFonts w:cstheme="minorBidi"/>
          <w:sz w:val="22"/>
          <w:szCs w:val="28"/>
          <w:lang w:bidi="th-TH"/>
        </w:rPr>
        <w:t>11</w:t>
      </w:r>
      <w:r w:rsidR="0054037C">
        <w:rPr>
          <w:rFonts w:cstheme="minorBidi"/>
          <w:sz w:val="22"/>
          <w:szCs w:val="28"/>
          <w:lang w:bidi="th-TH"/>
        </w:rPr>
        <w:t xml:space="preserve"> million</w:t>
      </w:r>
      <w:r w:rsidR="0054037C">
        <w:rPr>
          <w:sz w:val="22"/>
          <w:szCs w:val="22"/>
        </w:rPr>
        <w:t>, respectively</w:t>
      </w:r>
      <w:r w:rsidR="005D5F77">
        <w:rPr>
          <w:rFonts w:cstheme="minorBidi" w:hint="cs"/>
          <w:sz w:val="22"/>
          <w:szCs w:val="28"/>
          <w:cs/>
          <w:lang w:bidi="th-TH"/>
        </w:rPr>
        <w:t xml:space="preserve"> </w:t>
      </w:r>
      <w:r w:rsidR="005D5F77">
        <w:rPr>
          <w:rFonts w:cstheme="minorBidi"/>
          <w:sz w:val="22"/>
          <w:szCs w:val="28"/>
          <w:lang w:bidi="th-TH"/>
        </w:rPr>
        <w:t xml:space="preserve">and for the six-month period then ended amounting to Baht  </w:t>
      </w:r>
      <w:r w:rsidR="003C3DF6">
        <w:rPr>
          <w:rFonts w:cstheme="minorBidi"/>
          <w:sz w:val="22"/>
          <w:szCs w:val="28"/>
          <w:lang w:bidi="th-TH"/>
        </w:rPr>
        <w:t xml:space="preserve">9 million </w:t>
      </w:r>
      <w:r w:rsidR="005D5F77">
        <w:rPr>
          <w:rFonts w:cstheme="minorBidi"/>
          <w:sz w:val="22"/>
          <w:szCs w:val="28"/>
          <w:lang w:bidi="th-TH"/>
        </w:rPr>
        <w:t xml:space="preserve">and Baht </w:t>
      </w:r>
      <w:r w:rsidR="003C3DF6">
        <w:rPr>
          <w:rFonts w:cstheme="minorBidi"/>
          <w:sz w:val="22"/>
          <w:szCs w:val="28"/>
          <w:lang w:bidi="th-TH"/>
        </w:rPr>
        <w:t>3 million</w:t>
      </w:r>
      <w:r w:rsidR="005D5F77">
        <w:rPr>
          <w:rFonts w:cstheme="minorBidi"/>
          <w:sz w:val="22"/>
          <w:szCs w:val="28"/>
          <w:lang w:bidi="th-TH"/>
        </w:rPr>
        <w:t>, respectively</w:t>
      </w:r>
      <w:r w:rsidR="0054037C">
        <w:rPr>
          <w:sz w:val="22"/>
          <w:szCs w:val="22"/>
        </w:rPr>
        <w:t>.</w:t>
      </w:r>
      <w:r w:rsidR="00A81E87">
        <w:rPr>
          <w:sz w:val="22"/>
          <w:szCs w:val="22"/>
        </w:rPr>
        <w:t xml:space="preserve"> The investment in this associate </w:t>
      </w:r>
      <w:r w:rsidR="00FA21A0">
        <w:rPr>
          <w:sz w:val="22"/>
          <w:szCs w:val="22"/>
        </w:rPr>
        <w:t>accounted for using</w:t>
      </w:r>
      <w:r w:rsidR="00A81E87">
        <w:rPr>
          <w:sz w:val="22"/>
          <w:szCs w:val="22"/>
        </w:rPr>
        <w:t xml:space="preserve"> the equity method</w:t>
      </w:r>
      <w:r w:rsidR="00325F53">
        <w:rPr>
          <w:sz w:val="22"/>
          <w:szCs w:val="22"/>
        </w:rPr>
        <w:t>,</w:t>
      </w:r>
      <w:r w:rsidR="00FA21A0">
        <w:rPr>
          <w:sz w:val="22"/>
          <w:szCs w:val="22"/>
        </w:rPr>
        <w:t xml:space="preserve"> </w:t>
      </w:r>
      <w:r w:rsidR="00A81E87">
        <w:rPr>
          <w:sz w:val="22"/>
          <w:szCs w:val="22"/>
        </w:rPr>
        <w:t xml:space="preserve">share of </w:t>
      </w:r>
      <w:r w:rsidR="00A40DDF">
        <w:rPr>
          <w:sz w:val="22"/>
          <w:szCs w:val="22"/>
        </w:rPr>
        <w:t>profit</w:t>
      </w:r>
      <w:r w:rsidR="00A81E87">
        <w:rPr>
          <w:sz w:val="22"/>
          <w:szCs w:val="22"/>
        </w:rPr>
        <w:t xml:space="preserve"> of</w:t>
      </w:r>
      <w:r w:rsidR="00FA21A0">
        <w:rPr>
          <w:sz w:val="22"/>
          <w:szCs w:val="22"/>
        </w:rPr>
        <w:t xml:space="preserve"> </w:t>
      </w:r>
      <w:r w:rsidR="00A81E87">
        <w:rPr>
          <w:sz w:val="22"/>
          <w:szCs w:val="22"/>
        </w:rPr>
        <w:t>associates accounted for using equity method</w:t>
      </w:r>
      <w:r w:rsidR="0054037C">
        <w:rPr>
          <w:sz w:val="22"/>
          <w:szCs w:val="22"/>
        </w:rPr>
        <w:t xml:space="preserve"> and exchange differences on translating financial statements</w:t>
      </w:r>
      <w:r w:rsidR="00A81E87">
        <w:rPr>
          <w:sz w:val="22"/>
          <w:szCs w:val="22"/>
        </w:rPr>
        <w:t xml:space="preserve"> from this associate were</w:t>
      </w:r>
      <w:r w:rsidR="00325F53">
        <w:rPr>
          <w:sz w:val="22"/>
          <w:szCs w:val="22"/>
        </w:rPr>
        <w:t xml:space="preserve"> </w:t>
      </w:r>
      <w:proofErr w:type="spellStart"/>
      <w:r w:rsidR="00700A4D" w:rsidRPr="00877A7B">
        <w:rPr>
          <w:sz w:val="22"/>
          <w:szCs w:val="22"/>
        </w:rPr>
        <w:t>recognised</w:t>
      </w:r>
      <w:proofErr w:type="spellEnd"/>
      <w:r w:rsidRPr="003B2993">
        <w:rPr>
          <w:sz w:val="22"/>
          <w:szCs w:val="22"/>
        </w:rPr>
        <w:t xml:space="preserve"> based on the associate’s management accounts</w:t>
      </w:r>
      <w:r w:rsidR="0054037C">
        <w:rPr>
          <w:sz w:val="22"/>
          <w:szCs w:val="22"/>
        </w:rPr>
        <w:t>.</w:t>
      </w:r>
      <w:r w:rsidRPr="003B2993">
        <w:rPr>
          <w:sz w:val="22"/>
          <w:szCs w:val="22"/>
        </w:rPr>
        <w:t xml:space="preserve"> I was unable to perform </w:t>
      </w:r>
      <w:r w:rsidR="00B908DB">
        <w:rPr>
          <w:sz w:val="22"/>
          <w:szCs w:val="22"/>
        </w:rPr>
        <w:t xml:space="preserve">other </w:t>
      </w:r>
      <w:r w:rsidRPr="003B2993">
        <w:rPr>
          <w:sz w:val="22"/>
          <w:szCs w:val="22"/>
        </w:rPr>
        <w:t>review procedures to</w:t>
      </w:r>
      <w:r w:rsidR="00325F53">
        <w:rPr>
          <w:sz w:val="22"/>
          <w:szCs w:val="22"/>
        </w:rPr>
        <w:t xml:space="preserve"> </w:t>
      </w:r>
      <w:r w:rsidR="00B908DB">
        <w:rPr>
          <w:sz w:val="22"/>
          <w:szCs w:val="22"/>
        </w:rPr>
        <w:t xml:space="preserve">satisfy myself </w:t>
      </w:r>
      <w:r w:rsidRPr="003B2993">
        <w:rPr>
          <w:sz w:val="22"/>
          <w:szCs w:val="22"/>
        </w:rPr>
        <w:t xml:space="preserve">regarding the </w:t>
      </w:r>
      <w:r w:rsidR="00CE5C5C">
        <w:rPr>
          <w:sz w:val="22"/>
          <w:szCs w:val="22"/>
        </w:rPr>
        <w:t xml:space="preserve">carrying value of </w:t>
      </w:r>
      <w:r w:rsidR="0054037C">
        <w:rPr>
          <w:sz w:val="22"/>
          <w:szCs w:val="22"/>
        </w:rPr>
        <w:t xml:space="preserve">investment in this associate </w:t>
      </w:r>
      <w:r w:rsidR="00C70901">
        <w:rPr>
          <w:sz w:val="22"/>
          <w:szCs w:val="22"/>
        </w:rPr>
        <w:t>which is included in investments in as</w:t>
      </w:r>
      <w:bookmarkStart w:id="1" w:name="_GoBack"/>
      <w:bookmarkEnd w:id="1"/>
      <w:r w:rsidR="00C70901">
        <w:rPr>
          <w:sz w:val="22"/>
          <w:szCs w:val="22"/>
        </w:rPr>
        <w:t>sociates in the statement of financial position in which the equity method is applied</w:t>
      </w:r>
      <w:r w:rsidR="00C70901">
        <w:rPr>
          <w:rFonts w:cstheme="minorBidi" w:hint="cs"/>
          <w:sz w:val="22"/>
          <w:szCs w:val="28"/>
          <w:cs/>
          <w:lang w:bidi="th-TH"/>
        </w:rPr>
        <w:t xml:space="preserve"> </w:t>
      </w:r>
      <w:r w:rsidR="0054037C" w:rsidRPr="00C70901">
        <w:rPr>
          <w:sz w:val="22"/>
          <w:szCs w:val="22"/>
        </w:rPr>
        <w:t>as</w:t>
      </w:r>
      <w:r w:rsidR="0054037C">
        <w:rPr>
          <w:sz w:val="22"/>
          <w:szCs w:val="22"/>
        </w:rPr>
        <w:t xml:space="preserve"> at 30 </w:t>
      </w:r>
      <w:r w:rsidR="00BA1C7A">
        <w:rPr>
          <w:sz w:val="22"/>
          <w:szCs w:val="22"/>
        </w:rPr>
        <w:t>September</w:t>
      </w:r>
      <w:r w:rsidR="0054037C">
        <w:rPr>
          <w:sz w:val="22"/>
          <w:szCs w:val="22"/>
        </w:rPr>
        <w:t xml:space="preserve"> 2020, </w:t>
      </w:r>
      <w:r w:rsidR="0054037C">
        <w:rPr>
          <w:rFonts w:cstheme="minorBidi"/>
          <w:sz w:val="22"/>
          <w:szCs w:val="28"/>
          <w:lang w:bidi="th-TH"/>
        </w:rPr>
        <w:t xml:space="preserve">share of </w:t>
      </w:r>
      <w:r w:rsidR="00A40DDF">
        <w:rPr>
          <w:rFonts w:cstheme="minorBidi"/>
          <w:sz w:val="22"/>
          <w:szCs w:val="28"/>
          <w:lang w:bidi="th-TH"/>
        </w:rPr>
        <w:t>profit</w:t>
      </w:r>
      <w:r w:rsidR="0054037C">
        <w:rPr>
          <w:rFonts w:cstheme="minorBidi"/>
          <w:sz w:val="22"/>
          <w:szCs w:val="28"/>
          <w:lang w:bidi="th-TH"/>
        </w:rPr>
        <w:t xml:space="preserve"> of</w:t>
      </w:r>
      <w:r w:rsidR="00C70901">
        <w:rPr>
          <w:rFonts w:cstheme="minorBidi"/>
          <w:sz w:val="22"/>
          <w:szCs w:val="28"/>
          <w:lang w:bidi="th-TH"/>
        </w:rPr>
        <w:t xml:space="preserve"> </w:t>
      </w:r>
      <w:r w:rsidR="0054037C">
        <w:rPr>
          <w:rFonts w:cstheme="minorBidi"/>
          <w:sz w:val="22"/>
          <w:szCs w:val="28"/>
          <w:lang w:bidi="th-TH"/>
        </w:rPr>
        <w:t xml:space="preserve">associates accounted for using equity method and </w:t>
      </w:r>
      <w:r w:rsidR="0054037C">
        <w:rPr>
          <w:sz w:val="22"/>
          <w:szCs w:val="22"/>
        </w:rPr>
        <w:t xml:space="preserve">exchange differences on translating </w:t>
      </w:r>
      <w:r w:rsidR="0054037C" w:rsidRPr="00B70C96">
        <w:rPr>
          <w:rFonts w:cstheme="minorBidi"/>
          <w:sz w:val="22"/>
          <w:szCs w:val="28"/>
          <w:lang w:bidi="th-TH"/>
        </w:rPr>
        <w:t>financial statements</w:t>
      </w:r>
      <w:r w:rsidR="0054037C">
        <w:rPr>
          <w:rFonts w:cstheme="minorBidi"/>
          <w:sz w:val="22"/>
          <w:szCs w:val="28"/>
          <w:lang w:bidi="th-TH"/>
        </w:rPr>
        <w:t xml:space="preserve"> </w:t>
      </w:r>
      <w:r w:rsidR="00B908DB">
        <w:rPr>
          <w:rFonts w:cstheme="minorBidi"/>
          <w:sz w:val="22"/>
          <w:szCs w:val="28"/>
          <w:lang w:bidi="th-TH"/>
        </w:rPr>
        <w:t xml:space="preserve">from this </w:t>
      </w:r>
      <w:r w:rsidR="00B908DB" w:rsidRPr="00E45F24">
        <w:rPr>
          <w:rFonts w:cstheme="minorBidi"/>
          <w:sz w:val="22"/>
          <w:szCs w:val="28"/>
          <w:lang w:bidi="th-TH"/>
        </w:rPr>
        <w:t xml:space="preserve">associate </w:t>
      </w:r>
      <w:r w:rsidR="0054037C" w:rsidRPr="00E45F24">
        <w:rPr>
          <w:rFonts w:cstheme="minorBidi"/>
          <w:sz w:val="22"/>
          <w:szCs w:val="28"/>
          <w:lang w:bidi="th-TH"/>
        </w:rPr>
        <w:t>for the three</w:t>
      </w:r>
      <w:r w:rsidR="005D5F77">
        <w:rPr>
          <w:rFonts w:cstheme="minorBidi"/>
          <w:sz w:val="22"/>
          <w:szCs w:val="28"/>
          <w:lang w:bidi="th-TH"/>
        </w:rPr>
        <w:t>-month</w:t>
      </w:r>
      <w:r w:rsidR="00BA1C7A">
        <w:rPr>
          <w:rFonts w:cstheme="minorBidi"/>
          <w:sz w:val="22"/>
          <w:szCs w:val="28"/>
          <w:lang w:bidi="th-TH"/>
        </w:rPr>
        <w:t xml:space="preserve"> and six</w:t>
      </w:r>
      <w:r w:rsidR="0054037C" w:rsidRPr="00E45F24">
        <w:rPr>
          <w:rFonts w:cstheme="minorBidi"/>
          <w:sz w:val="22"/>
          <w:szCs w:val="28"/>
          <w:lang w:bidi="th-TH"/>
        </w:rPr>
        <w:t>-month period</w:t>
      </w:r>
      <w:r w:rsidR="005D5F77">
        <w:rPr>
          <w:rFonts w:cstheme="minorBidi"/>
          <w:sz w:val="22"/>
          <w:szCs w:val="28"/>
          <w:lang w:bidi="th-TH"/>
        </w:rPr>
        <w:t>s</w:t>
      </w:r>
      <w:r w:rsidR="0054037C" w:rsidRPr="00E45F24">
        <w:rPr>
          <w:rFonts w:cstheme="minorBidi"/>
          <w:sz w:val="22"/>
          <w:szCs w:val="28"/>
          <w:lang w:bidi="th-TH"/>
        </w:rPr>
        <w:t xml:space="preserve"> then ended</w:t>
      </w:r>
      <w:r w:rsidR="00B908DB" w:rsidRPr="00B70C96">
        <w:rPr>
          <w:rFonts w:cstheme="minorBidi"/>
          <w:sz w:val="22"/>
          <w:szCs w:val="28"/>
          <w:lang w:bidi="th-TH"/>
        </w:rPr>
        <w:t xml:space="preserve">. </w:t>
      </w:r>
      <w:r w:rsidR="00BD464D" w:rsidRPr="00B70C96">
        <w:rPr>
          <w:rFonts w:cstheme="minorBidi"/>
          <w:sz w:val="22"/>
          <w:szCs w:val="28"/>
          <w:lang w:bidi="th-TH"/>
        </w:rPr>
        <w:t>I was therefore unable to determine whether and to what extent related adjustments were required to</w:t>
      </w:r>
      <w:r w:rsidR="00325F53" w:rsidRPr="00B70C96">
        <w:rPr>
          <w:rFonts w:cstheme="minorBidi"/>
          <w:sz w:val="22"/>
          <w:szCs w:val="28"/>
          <w:lang w:bidi="th-TH"/>
        </w:rPr>
        <w:t xml:space="preserve"> the mentioned investments in associates, share of </w:t>
      </w:r>
      <w:r w:rsidR="00A40DDF">
        <w:rPr>
          <w:rFonts w:cstheme="minorBidi"/>
          <w:sz w:val="22"/>
          <w:szCs w:val="28"/>
          <w:lang w:bidi="th-TH"/>
        </w:rPr>
        <w:t>profit</w:t>
      </w:r>
      <w:r w:rsidR="00325F53" w:rsidRPr="00B70C96">
        <w:rPr>
          <w:rFonts w:cstheme="minorBidi"/>
          <w:sz w:val="22"/>
          <w:szCs w:val="28"/>
          <w:lang w:bidi="th-TH"/>
        </w:rPr>
        <w:t xml:space="preserve"> of associates accounted for using equity method, retained earnings and exchange differences from translating financial statements</w:t>
      </w:r>
      <w:r w:rsidR="00B70C96">
        <w:rPr>
          <w:rFonts w:cstheme="minorBidi"/>
          <w:sz w:val="22"/>
          <w:szCs w:val="28"/>
          <w:lang w:bidi="th-TH"/>
        </w:rPr>
        <w:t>.</w:t>
      </w:r>
    </w:p>
    <w:p w14:paraId="1782730D" w14:textId="06D26D95" w:rsidR="00732025" w:rsidRPr="00A037F0" w:rsidRDefault="00732025" w:rsidP="00FF7F38">
      <w:pPr>
        <w:ind w:left="-540"/>
        <w:jc w:val="both"/>
        <w:rPr>
          <w:rFonts w:cstheme="minorBidi"/>
          <w:i/>
          <w:sz w:val="22"/>
          <w:szCs w:val="28"/>
          <w:lang w:bidi="th-TH"/>
        </w:rPr>
      </w:pPr>
      <w:r w:rsidRPr="00E45F24">
        <w:rPr>
          <w:sz w:val="22"/>
          <w:szCs w:val="22"/>
        </w:rPr>
        <w:lastRenderedPageBreak/>
        <w:t>As described in the other matter</w:t>
      </w:r>
      <w:r w:rsidR="004A557A">
        <w:rPr>
          <w:sz w:val="22"/>
          <w:szCs w:val="22"/>
        </w:rPr>
        <w:t>s</w:t>
      </w:r>
      <w:r w:rsidRPr="00E45F24">
        <w:rPr>
          <w:sz w:val="22"/>
          <w:szCs w:val="22"/>
        </w:rPr>
        <w:t xml:space="preserve"> paragraph, another auditor</w:t>
      </w:r>
      <w:r w:rsidRPr="00E45F24">
        <w:rPr>
          <w:rFonts w:cstheme="minorBidi" w:hint="cs"/>
          <w:sz w:val="22"/>
          <w:szCs w:val="28"/>
          <w:cs/>
          <w:lang w:bidi="th-TH"/>
        </w:rPr>
        <w:t xml:space="preserve"> </w:t>
      </w:r>
      <w:r w:rsidRPr="00E45F24">
        <w:rPr>
          <w:rFonts w:cstheme="minorBidi"/>
          <w:sz w:val="22"/>
          <w:szCs w:val="28"/>
          <w:lang w:bidi="th-TH"/>
        </w:rPr>
        <w:t>expressed</w:t>
      </w:r>
      <w:r w:rsidR="00DF6A0D" w:rsidRPr="00E45F24">
        <w:rPr>
          <w:rFonts w:cstheme="minorBidi" w:hint="cs"/>
          <w:sz w:val="22"/>
          <w:szCs w:val="28"/>
          <w:cs/>
          <w:lang w:bidi="th-TH"/>
        </w:rPr>
        <w:t xml:space="preserve"> </w:t>
      </w:r>
      <w:r w:rsidR="00DF6A0D" w:rsidRPr="00E45F24">
        <w:rPr>
          <w:rFonts w:cstheme="minorBidi"/>
          <w:sz w:val="22"/>
          <w:szCs w:val="28"/>
          <w:lang w:bidi="th-TH"/>
        </w:rPr>
        <w:t xml:space="preserve">a qualified </w:t>
      </w:r>
      <w:r w:rsidR="00A037F0" w:rsidRPr="00E45F24">
        <w:rPr>
          <w:rFonts w:cstheme="minorBidi"/>
          <w:sz w:val="22"/>
          <w:szCs w:val="28"/>
          <w:lang w:bidi="th-TH"/>
        </w:rPr>
        <w:t>opinion</w:t>
      </w:r>
      <w:r w:rsidR="00DF6A0D" w:rsidRPr="00E45F24">
        <w:rPr>
          <w:rFonts w:cstheme="minorBidi"/>
          <w:sz w:val="22"/>
          <w:szCs w:val="28"/>
          <w:lang w:bidi="th-TH"/>
        </w:rPr>
        <w:t xml:space="preserve"> on </w:t>
      </w:r>
      <w:r w:rsidR="00A037F0" w:rsidRPr="00E45F24">
        <w:rPr>
          <w:rFonts w:cstheme="minorBidi"/>
          <w:sz w:val="22"/>
          <w:szCs w:val="28"/>
          <w:lang w:bidi="th-TH"/>
        </w:rPr>
        <w:t xml:space="preserve">valuation of investments in </w:t>
      </w:r>
      <w:r w:rsidR="00805E61" w:rsidRPr="00E45F24">
        <w:rPr>
          <w:rFonts w:cstheme="minorBidi"/>
          <w:sz w:val="22"/>
          <w:szCs w:val="28"/>
          <w:lang w:bidi="th-TH"/>
        </w:rPr>
        <w:t xml:space="preserve">an </w:t>
      </w:r>
      <w:r w:rsidR="00A037F0" w:rsidRPr="00E45F24">
        <w:rPr>
          <w:rFonts w:cstheme="minorBidi"/>
          <w:sz w:val="22"/>
          <w:szCs w:val="28"/>
          <w:lang w:bidi="th-TH"/>
        </w:rPr>
        <w:t xml:space="preserve">associate, </w:t>
      </w:r>
      <w:r w:rsidR="00A037F0" w:rsidRPr="00E45F24">
        <w:rPr>
          <w:sz w:val="22"/>
          <w:szCs w:val="22"/>
        </w:rPr>
        <w:t xml:space="preserve">Thai Polyphosphate </w:t>
      </w:r>
      <w:r w:rsidR="001A3BD7">
        <w:rPr>
          <w:sz w:val="22"/>
          <w:szCs w:val="22"/>
        </w:rPr>
        <w:t>&amp;</w:t>
      </w:r>
      <w:r w:rsidR="00A037F0" w:rsidRPr="00E45F24">
        <w:rPr>
          <w:sz w:val="22"/>
          <w:szCs w:val="22"/>
        </w:rPr>
        <w:t xml:space="preserve"> Chemicals Company Limited</w:t>
      </w:r>
      <w:r w:rsidR="00AB6FC9" w:rsidRPr="00E45F24">
        <w:rPr>
          <w:sz w:val="22"/>
          <w:szCs w:val="22"/>
        </w:rPr>
        <w:t>,</w:t>
      </w:r>
      <w:r w:rsidR="00A037F0" w:rsidRPr="00E45F24">
        <w:rPr>
          <w:sz w:val="22"/>
          <w:szCs w:val="22"/>
        </w:rPr>
        <w:t xml:space="preserve"> as at 31 March 2020 </w:t>
      </w:r>
      <w:r w:rsidR="00B908DB" w:rsidRPr="00E45F24">
        <w:rPr>
          <w:sz w:val="22"/>
          <w:szCs w:val="22"/>
        </w:rPr>
        <w:t xml:space="preserve">amounting to Baht 3,354 million </w:t>
      </w:r>
      <w:r w:rsidR="00C8652F" w:rsidRPr="00E45F24">
        <w:rPr>
          <w:sz w:val="22"/>
          <w:szCs w:val="22"/>
        </w:rPr>
        <w:t xml:space="preserve">which included in investments in associates in the statement of financial position in which equity method is applied </w:t>
      </w:r>
      <w:r w:rsidR="00A037F0" w:rsidRPr="00E45F24">
        <w:rPr>
          <w:sz w:val="22"/>
          <w:szCs w:val="22"/>
        </w:rPr>
        <w:t>and expressed a qualified review conclusion on</w:t>
      </w:r>
      <w:r w:rsidR="00805E61" w:rsidRPr="00E45F24">
        <w:rPr>
          <w:sz w:val="22"/>
          <w:szCs w:val="22"/>
        </w:rPr>
        <w:t xml:space="preserve"> the</w:t>
      </w:r>
      <w:r w:rsidR="00A037F0" w:rsidRPr="00E45F24">
        <w:rPr>
          <w:sz w:val="22"/>
          <w:szCs w:val="22"/>
        </w:rPr>
        <w:t xml:space="preserve"> </w:t>
      </w:r>
      <w:r w:rsidR="00A037F0" w:rsidRPr="00E45F24">
        <w:rPr>
          <w:rFonts w:cstheme="minorBidi"/>
          <w:sz w:val="22"/>
          <w:szCs w:val="28"/>
          <w:lang w:bidi="th-TH"/>
        </w:rPr>
        <w:t xml:space="preserve">share of </w:t>
      </w:r>
      <w:r w:rsidR="00C70901" w:rsidRPr="00E45F24">
        <w:rPr>
          <w:rFonts w:cstheme="minorBidi"/>
          <w:sz w:val="22"/>
          <w:szCs w:val="28"/>
          <w:lang w:bidi="th-TH"/>
        </w:rPr>
        <w:t>loss</w:t>
      </w:r>
      <w:r w:rsidR="00A037F0" w:rsidRPr="00E45F24">
        <w:rPr>
          <w:rFonts w:cstheme="minorBidi"/>
          <w:sz w:val="22"/>
          <w:szCs w:val="28"/>
          <w:lang w:bidi="th-TH"/>
        </w:rPr>
        <w:t xml:space="preserve"> </w:t>
      </w:r>
      <w:r w:rsidR="00B908DB" w:rsidRPr="00E45F24">
        <w:rPr>
          <w:rFonts w:cstheme="minorBidi"/>
          <w:sz w:val="22"/>
          <w:szCs w:val="28"/>
          <w:lang w:bidi="th-TH"/>
        </w:rPr>
        <w:t>of</w:t>
      </w:r>
      <w:r w:rsidR="00C70901" w:rsidRPr="00E45F24">
        <w:rPr>
          <w:rFonts w:cstheme="minorBidi"/>
          <w:sz w:val="22"/>
          <w:szCs w:val="28"/>
          <w:lang w:bidi="th-TH"/>
        </w:rPr>
        <w:t xml:space="preserve"> </w:t>
      </w:r>
      <w:r w:rsidR="00B908DB" w:rsidRPr="00E45F24">
        <w:rPr>
          <w:rFonts w:cstheme="minorBidi"/>
          <w:sz w:val="22"/>
          <w:szCs w:val="28"/>
          <w:lang w:bidi="th-TH"/>
        </w:rPr>
        <w:t xml:space="preserve">associates accounted for using equity method </w:t>
      </w:r>
      <w:r w:rsidR="00A037F0" w:rsidRPr="00E45F24">
        <w:rPr>
          <w:rFonts w:cstheme="minorBidi"/>
          <w:sz w:val="22"/>
          <w:szCs w:val="28"/>
          <w:lang w:bidi="th-TH"/>
        </w:rPr>
        <w:t>from this associate for the three</w:t>
      </w:r>
      <w:r w:rsidR="005D5F77">
        <w:rPr>
          <w:rFonts w:cstheme="minorBidi"/>
          <w:sz w:val="22"/>
          <w:szCs w:val="28"/>
          <w:lang w:bidi="th-TH"/>
        </w:rPr>
        <w:t xml:space="preserve">-month </w:t>
      </w:r>
      <w:r w:rsidR="00BA1C7A">
        <w:rPr>
          <w:rFonts w:cstheme="minorBidi"/>
          <w:sz w:val="22"/>
          <w:szCs w:val="28"/>
          <w:lang w:bidi="th-TH"/>
        </w:rPr>
        <w:t>and six</w:t>
      </w:r>
      <w:r w:rsidR="00A037F0" w:rsidRPr="00E45F24">
        <w:rPr>
          <w:rFonts w:cstheme="minorBidi"/>
          <w:sz w:val="22"/>
          <w:szCs w:val="28"/>
          <w:lang w:bidi="th-TH"/>
        </w:rPr>
        <w:t>-month period</w:t>
      </w:r>
      <w:r w:rsidR="005D5F77">
        <w:rPr>
          <w:rFonts w:cstheme="minorBidi"/>
          <w:sz w:val="22"/>
          <w:szCs w:val="28"/>
          <w:lang w:bidi="th-TH"/>
        </w:rPr>
        <w:t>s</w:t>
      </w:r>
      <w:r w:rsidR="00A037F0" w:rsidRPr="00E45F24">
        <w:rPr>
          <w:rFonts w:cstheme="minorBidi"/>
          <w:sz w:val="22"/>
          <w:szCs w:val="28"/>
          <w:lang w:bidi="th-TH"/>
        </w:rPr>
        <w:t xml:space="preserve"> ended 30 </w:t>
      </w:r>
      <w:r w:rsidR="00BA1C7A">
        <w:rPr>
          <w:rFonts w:cstheme="minorBidi"/>
          <w:sz w:val="22"/>
          <w:szCs w:val="28"/>
          <w:lang w:bidi="th-TH"/>
        </w:rPr>
        <w:t>September</w:t>
      </w:r>
      <w:r w:rsidR="00A037F0" w:rsidRPr="00E45F24">
        <w:rPr>
          <w:rFonts w:cstheme="minorBidi"/>
          <w:sz w:val="22"/>
          <w:szCs w:val="28"/>
          <w:lang w:bidi="th-TH"/>
        </w:rPr>
        <w:t xml:space="preserve"> 2019 </w:t>
      </w:r>
      <w:r w:rsidR="001A3BD7">
        <w:rPr>
          <w:rFonts w:cstheme="minorBidi"/>
          <w:sz w:val="22"/>
          <w:szCs w:val="28"/>
          <w:lang w:bidi="th-TH"/>
        </w:rPr>
        <w:t xml:space="preserve">amounting to Baht 4 million and Baht 62 million, respectively </w:t>
      </w:r>
      <w:r w:rsidR="00A037F0" w:rsidRPr="00E45F24">
        <w:rPr>
          <w:rFonts w:cstheme="minorBidi"/>
          <w:sz w:val="22"/>
          <w:szCs w:val="28"/>
          <w:lang w:bidi="th-TH"/>
        </w:rPr>
        <w:t xml:space="preserve">for the same reason as described in the </w:t>
      </w:r>
      <w:r w:rsidR="004A557A">
        <w:rPr>
          <w:rFonts w:cstheme="minorBidi"/>
          <w:sz w:val="22"/>
          <w:szCs w:val="28"/>
          <w:lang w:bidi="th-TH"/>
        </w:rPr>
        <w:t>o</w:t>
      </w:r>
      <w:r w:rsidR="00B908DB" w:rsidRPr="00E45F24">
        <w:rPr>
          <w:rFonts w:cstheme="minorBidi"/>
          <w:sz w:val="22"/>
          <w:szCs w:val="28"/>
          <w:lang w:bidi="th-TH"/>
        </w:rPr>
        <w:t xml:space="preserve">ther </w:t>
      </w:r>
      <w:r w:rsidR="004A557A">
        <w:rPr>
          <w:rFonts w:cstheme="minorBidi"/>
          <w:sz w:val="22"/>
          <w:szCs w:val="28"/>
          <w:lang w:bidi="th-TH"/>
        </w:rPr>
        <w:t>m</w:t>
      </w:r>
      <w:r w:rsidR="00B908DB" w:rsidRPr="00E45F24">
        <w:rPr>
          <w:rFonts w:cstheme="minorBidi"/>
          <w:sz w:val="22"/>
          <w:szCs w:val="28"/>
          <w:lang w:bidi="th-TH"/>
        </w:rPr>
        <w:t xml:space="preserve">atters </w:t>
      </w:r>
      <w:r w:rsidR="00A037F0" w:rsidRPr="00E45F24">
        <w:rPr>
          <w:rFonts w:cstheme="minorBidi"/>
          <w:sz w:val="22"/>
          <w:szCs w:val="28"/>
          <w:lang w:bidi="th-TH"/>
        </w:rPr>
        <w:t>paragraph.</w:t>
      </w:r>
    </w:p>
    <w:p w14:paraId="2CD23554" w14:textId="77777777" w:rsidR="00501C2D" w:rsidRPr="003B2993" w:rsidRDefault="00501C2D" w:rsidP="00FF7F38">
      <w:pPr>
        <w:ind w:left="-540"/>
        <w:jc w:val="both"/>
        <w:rPr>
          <w:i/>
          <w:sz w:val="22"/>
          <w:szCs w:val="22"/>
        </w:rPr>
      </w:pPr>
    </w:p>
    <w:p w14:paraId="523C3E0E" w14:textId="002F2CB1" w:rsidR="00AE3285" w:rsidRPr="003B2993" w:rsidRDefault="006D2C09" w:rsidP="00FF7F38">
      <w:pPr>
        <w:ind w:left="-540"/>
        <w:jc w:val="both"/>
        <w:rPr>
          <w:sz w:val="22"/>
          <w:szCs w:val="22"/>
        </w:rPr>
      </w:pPr>
      <w:r w:rsidRPr="003B2993">
        <w:rPr>
          <w:i/>
          <w:sz w:val="22"/>
          <w:szCs w:val="22"/>
        </w:rPr>
        <w:t>Qualified c</w:t>
      </w:r>
      <w:r w:rsidR="00AE3285" w:rsidRPr="003B2993">
        <w:rPr>
          <w:i/>
          <w:sz w:val="22"/>
          <w:szCs w:val="22"/>
        </w:rPr>
        <w:t>onclusion</w:t>
      </w:r>
    </w:p>
    <w:p w14:paraId="6C257759" w14:textId="77777777" w:rsidR="00AE3285" w:rsidRPr="003B2993" w:rsidRDefault="00AE3285" w:rsidP="00FF7F38">
      <w:pPr>
        <w:ind w:left="-540"/>
        <w:jc w:val="both"/>
        <w:rPr>
          <w:sz w:val="22"/>
        </w:rPr>
      </w:pPr>
    </w:p>
    <w:p w14:paraId="7460907C" w14:textId="3FF4A7FC" w:rsidR="00AE3285" w:rsidRPr="003B2993" w:rsidRDefault="00AA246D" w:rsidP="00FF7F38">
      <w:pPr>
        <w:ind w:left="-540"/>
        <w:jc w:val="both"/>
      </w:pPr>
      <w:r w:rsidRPr="003B2993">
        <w:rPr>
          <w:sz w:val="22"/>
          <w:szCs w:val="22"/>
        </w:rPr>
        <w:t>Except for the matters described in the basis for qualified conclusion paragraph</w:t>
      </w:r>
      <w:r w:rsidR="00501C2D" w:rsidRPr="003B2993">
        <w:rPr>
          <w:sz w:val="22"/>
          <w:szCs w:val="22"/>
        </w:rPr>
        <w:t>,</w:t>
      </w:r>
      <w:r w:rsidRPr="003B2993">
        <w:rPr>
          <w:sz w:val="22"/>
          <w:szCs w:val="22"/>
        </w:rPr>
        <w:t xml:space="preserve"> </w:t>
      </w:r>
      <w:r w:rsidR="00AE3285" w:rsidRPr="003B2993">
        <w:rPr>
          <w:sz w:val="22"/>
          <w:szCs w:val="22"/>
        </w:rPr>
        <w:t>nothing has come to my attention that causes me to believe that the accompanying interim financial information</w:t>
      </w:r>
      <w:r w:rsidR="00AE3285" w:rsidRPr="003B2993">
        <w:rPr>
          <w:rFonts w:cstheme="minorBidi" w:hint="cs"/>
          <w:sz w:val="22"/>
          <w:szCs w:val="28"/>
          <w:cs/>
          <w:lang w:bidi="th-TH"/>
        </w:rPr>
        <w:t xml:space="preserve"> </w:t>
      </w:r>
      <w:r w:rsidR="00AE3285" w:rsidRPr="003B2993">
        <w:rPr>
          <w:sz w:val="22"/>
          <w:szCs w:val="22"/>
          <w:lang w:bidi="th-TH"/>
        </w:rPr>
        <w:t>is</w:t>
      </w:r>
      <w:r w:rsidR="00AE3285" w:rsidRPr="003B2993">
        <w:rPr>
          <w:sz w:val="22"/>
          <w:szCs w:val="22"/>
        </w:rPr>
        <w:t xml:space="preserve"> not prepared, in all material respects, in accordance with Thai Accounting Standard 34, “Interim Financial Reporting”.</w:t>
      </w:r>
    </w:p>
    <w:p w14:paraId="3793C854" w14:textId="6201833F" w:rsidR="00AE3285" w:rsidRDefault="00AE3285" w:rsidP="00FF7F38">
      <w:pPr>
        <w:ind w:left="-540"/>
        <w:jc w:val="both"/>
      </w:pPr>
    </w:p>
    <w:p w14:paraId="10E4DA12" w14:textId="2809DBA9" w:rsidR="007D129E" w:rsidRPr="00337A46" w:rsidRDefault="007D129E" w:rsidP="00FF7F38">
      <w:pPr>
        <w:ind w:left="-540"/>
        <w:jc w:val="both"/>
        <w:rPr>
          <w:i/>
          <w:sz w:val="22"/>
        </w:rPr>
      </w:pPr>
      <w:r w:rsidRPr="00337A46">
        <w:rPr>
          <w:i/>
          <w:sz w:val="22"/>
        </w:rPr>
        <w:t>Emphasis of Matter</w:t>
      </w:r>
      <w:r w:rsidR="0035494B">
        <w:rPr>
          <w:i/>
          <w:sz w:val="22"/>
        </w:rPr>
        <w:t>s</w:t>
      </w:r>
    </w:p>
    <w:p w14:paraId="368EA102" w14:textId="77777777" w:rsidR="007D129E" w:rsidRPr="00337A46" w:rsidRDefault="007D129E" w:rsidP="00FF7F38">
      <w:pPr>
        <w:ind w:left="-540"/>
        <w:jc w:val="both"/>
        <w:rPr>
          <w:sz w:val="22"/>
        </w:rPr>
      </w:pPr>
    </w:p>
    <w:p w14:paraId="18C3939C" w14:textId="77777777" w:rsidR="007D129E" w:rsidRPr="00F729BC" w:rsidRDefault="007D129E" w:rsidP="00FF7F38">
      <w:pPr>
        <w:ind w:left="-540"/>
        <w:jc w:val="both"/>
        <w:rPr>
          <w:sz w:val="22"/>
          <w:szCs w:val="22"/>
        </w:rPr>
      </w:pPr>
      <w:r w:rsidRPr="00F729BC">
        <w:rPr>
          <w:sz w:val="22"/>
          <w:szCs w:val="22"/>
        </w:rPr>
        <w:t>I draw attention to notes 3 and 4 to the interim financial information which describes the impact of the following matters:</w:t>
      </w:r>
    </w:p>
    <w:p w14:paraId="22027EE5" w14:textId="77777777" w:rsidR="007D129E" w:rsidRPr="00F729BC" w:rsidRDefault="007D129E" w:rsidP="00FF7F38">
      <w:pPr>
        <w:ind w:left="-540"/>
        <w:jc w:val="both"/>
        <w:rPr>
          <w:sz w:val="22"/>
          <w:szCs w:val="22"/>
        </w:rPr>
      </w:pPr>
    </w:p>
    <w:p w14:paraId="54CAEC02" w14:textId="19E1251B" w:rsidR="007D129E" w:rsidRPr="00F729BC" w:rsidRDefault="00B70C96" w:rsidP="00B70C96">
      <w:pPr>
        <w:pStyle w:val="ListParagraph"/>
        <w:ind w:left="-540"/>
        <w:jc w:val="both"/>
      </w:pPr>
      <w:r w:rsidRPr="00F729BC">
        <w:rPr>
          <w:rFonts w:ascii="Times New Roman" w:eastAsia="Times New Roman" w:hAnsi="Times New Roman" w:cs="Times New Roman"/>
          <w:szCs w:val="22"/>
          <w:lang w:bidi="ar-SA"/>
        </w:rPr>
        <w:t xml:space="preserve">- </w:t>
      </w:r>
      <w:r w:rsidR="007D129E" w:rsidRPr="00F729BC">
        <w:rPr>
          <w:rFonts w:ascii="Times New Roman" w:eastAsia="Times New Roman" w:hAnsi="Times New Roman" w:cs="Times New Roman"/>
          <w:szCs w:val="22"/>
          <w:lang w:bidi="ar-SA"/>
        </w:rPr>
        <w:t xml:space="preserve">The adoption of certain new accounting policies from 1 April 2020. </w:t>
      </w:r>
    </w:p>
    <w:p w14:paraId="07CCFA3F" w14:textId="624E7F5E" w:rsidR="007D129E" w:rsidRDefault="00B70C96" w:rsidP="00B70C96">
      <w:pPr>
        <w:pStyle w:val="ListParagraph"/>
        <w:ind w:left="-540"/>
        <w:jc w:val="both"/>
        <w:rPr>
          <w:rFonts w:ascii="Times New Roman" w:eastAsia="Times New Roman" w:hAnsi="Times New Roman" w:cs="Times New Roman"/>
          <w:szCs w:val="22"/>
          <w:lang w:bidi="ar-SA"/>
        </w:rPr>
      </w:pPr>
      <w:r w:rsidRPr="00F729BC">
        <w:rPr>
          <w:rFonts w:ascii="Times New Roman" w:eastAsia="Times New Roman" w:hAnsi="Times New Roman" w:cs="Times New Roman"/>
          <w:szCs w:val="22"/>
          <w:lang w:bidi="ar-SA"/>
        </w:rPr>
        <w:t xml:space="preserve">- </w:t>
      </w:r>
      <w:r w:rsidR="007D129E" w:rsidRPr="00A450A0">
        <w:rPr>
          <w:rFonts w:ascii="Times New Roman" w:eastAsia="Times New Roman" w:hAnsi="Times New Roman" w:cs="Times New Roman"/>
          <w:spacing w:val="-4"/>
          <w:szCs w:val="22"/>
          <w:lang w:bidi="ar-SA"/>
        </w:rPr>
        <w:t>The COVID-19 outbreak on the Company’s business together with management’s plan to address these circumstances, and the adoption of the guidance on temporary accounting relief measures providing additional accounting options for the treatment of the impact of COVID-19 outbreak</w:t>
      </w:r>
      <w:r w:rsidR="00A95B89" w:rsidRPr="00A450A0">
        <w:rPr>
          <w:rFonts w:ascii="Times New Roman" w:eastAsia="Times New Roman" w:hAnsi="Times New Roman" w:cs="Times New Roman"/>
          <w:spacing w:val="-4"/>
          <w:szCs w:val="22"/>
          <w:lang w:bidi="ar-SA"/>
        </w:rPr>
        <w:t xml:space="preserve"> promulgated by the Federation of Accounting Professions</w:t>
      </w:r>
      <w:r w:rsidR="007D129E" w:rsidRPr="00A450A0">
        <w:rPr>
          <w:rFonts w:ascii="Times New Roman" w:eastAsia="Times New Roman" w:hAnsi="Times New Roman" w:cs="Times New Roman"/>
          <w:spacing w:val="-4"/>
          <w:szCs w:val="22"/>
          <w:lang w:bidi="ar-SA"/>
        </w:rPr>
        <w:t xml:space="preserve"> in the interim financial information for the three</w:t>
      </w:r>
      <w:r w:rsidR="001A3BD7" w:rsidRPr="00A450A0">
        <w:rPr>
          <w:rFonts w:ascii="Times New Roman" w:eastAsia="Times New Roman" w:hAnsi="Times New Roman" w:cs="Times New Roman"/>
          <w:spacing w:val="-4"/>
          <w:szCs w:val="22"/>
          <w:lang w:bidi="ar-SA"/>
        </w:rPr>
        <w:t>-month</w:t>
      </w:r>
      <w:r w:rsidR="007E2F02" w:rsidRPr="00A450A0">
        <w:rPr>
          <w:rFonts w:ascii="Times New Roman" w:eastAsia="Times New Roman" w:hAnsi="Times New Roman" w:cs="Times New Roman"/>
          <w:spacing w:val="-4"/>
          <w:szCs w:val="22"/>
          <w:lang w:bidi="ar-SA"/>
        </w:rPr>
        <w:t xml:space="preserve"> and six</w:t>
      </w:r>
      <w:r w:rsidR="007D129E" w:rsidRPr="00A450A0">
        <w:rPr>
          <w:rFonts w:ascii="Times New Roman" w:eastAsia="Times New Roman" w:hAnsi="Times New Roman" w:cs="Times New Roman"/>
          <w:spacing w:val="-4"/>
          <w:szCs w:val="22"/>
          <w:lang w:bidi="ar-SA"/>
        </w:rPr>
        <w:t>-month</w:t>
      </w:r>
      <w:r w:rsidR="007D129E" w:rsidRPr="00A450A0">
        <w:rPr>
          <w:rFonts w:ascii="Times New Roman" w:eastAsia="Times New Roman" w:hAnsi="Times New Roman" w:cs="Times New Roman" w:hint="cs"/>
          <w:spacing w:val="-4"/>
          <w:szCs w:val="22"/>
          <w:cs/>
        </w:rPr>
        <w:t xml:space="preserve"> </w:t>
      </w:r>
      <w:r w:rsidR="007D129E" w:rsidRPr="00A450A0">
        <w:rPr>
          <w:rFonts w:ascii="Times New Roman" w:eastAsia="Times New Roman" w:hAnsi="Times New Roman" w:cs="Times New Roman"/>
          <w:spacing w:val="-4"/>
          <w:szCs w:val="22"/>
          <w:lang w:bidi="ar-SA"/>
        </w:rPr>
        <w:t xml:space="preserve">period ended </w:t>
      </w:r>
      <w:r w:rsidR="00A450A0">
        <w:rPr>
          <w:rFonts w:ascii="Times New Roman" w:eastAsia="Times New Roman" w:hAnsi="Times New Roman" w:cs="Times New Roman"/>
          <w:spacing w:val="-4"/>
          <w:szCs w:val="22"/>
          <w:lang w:bidi="ar-SA"/>
        </w:rPr>
        <w:br/>
      </w:r>
      <w:r w:rsidR="007D129E" w:rsidRPr="00A450A0">
        <w:rPr>
          <w:rFonts w:ascii="Times New Roman" w:eastAsia="Times New Roman" w:hAnsi="Times New Roman" w:cs="Times New Roman"/>
          <w:spacing w:val="-4"/>
          <w:szCs w:val="22"/>
          <w:lang w:bidi="ar-SA"/>
        </w:rPr>
        <w:t xml:space="preserve">30 </w:t>
      </w:r>
      <w:r w:rsidR="00A40DDF" w:rsidRPr="00A450A0">
        <w:rPr>
          <w:rFonts w:ascii="Times New Roman" w:eastAsia="Times New Roman" w:hAnsi="Times New Roman" w:cs="Angsana New"/>
          <w:spacing w:val="-4"/>
        </w:rPr>
        <w:t>September</w:t>
      </w:r>
      <w:r w:rsidR="007D129E" w:rsidRPr="00A450A0">
        <w:rPr>
          <w:rFonts w:ascii="Times New Roman" w:eastAsia="Times New Roman" w:hAnsi="Times New Roman" w:cs="Times New Roman"/>
          <w:spacing w:val="-4"/>
          <w:szCs w:val="22"/>
          <w:lang w:bidi="ar-SA"/>
        </w:rPr>
        <w:t xml:space="preserve"> 2020.</w:t>
      </w:r>
      <w:r w:rsidR="007D129E" w:rsidRPr="00F718C1">
        <w:rPr>
          <w:rFonts w:ascii="Times New Roman" w:eastAsia="Times New Roman" w:hAnsi="Times New Roman" w:cs="Times New Roman"/>
          <w:szCs w:val="22"/>
          <w:lang w:bidi="ar-SA"/>
        </w:rPr>
        <w:t xml:space="preserve"> </w:t>
      </w:r>
    </w:p>
    <w:p w14:paraId="5DA8FD7B" w14:textId="77777777" w:rsidR="007D129E" w:rsidRPr="00F718C1" w:rsidRDefault="007D129E" w:rsidP="00FF7F38">
      <w:pPr>
        <w:ind w:left="-540"/>
        <w:jc w:val="both"/>
        <w:rPr>
          <w:sz w:val="22"/>
          <w:szCs w:val="22"/>
        </w:rPr>
      </w:pPr>
      <w:r w:rsidRPr="00F718C1">
        <w:rPr>
          <w:sz w:val="22"/>
          <w:szCs w:val="22"/>
        </w:rPr>
        <w:t>My conclusion is not modified in respect of th</w:t>
      </w:r>
      <w:r>
        <w:rPr>
          <w:sz w:val="22"/>
          <w:szCs w:val="22"/>
        </w:rPr>
        <w:t>ese</w:t>
      </w:r>
      <w:r w:rsidRPr="00F718C1">
        <w:rPr>
          <w:sz w:val="22"/>
          <w:szCs w:val="22"/>
        </w:rPr>
        <w:t xml:space="preserve"> matter</w:t>
      </w:r>
      <w:r>
        <w:rPr>
          <w:sz w:val="22"/>
          <w:szCs w:val="22"/>
        </w:rPr>
        <w:t>s</w:t>
      </w:r>
      <w:r w:rsidRPr="00F718C1">
        <w:rPr>
          <w:sz w:val="22"/>
          <w:szCs w:val="22"/>
        </w:rPr>
        <w:t>.</w:t>
      </w:r>
    </w:p>
    <w:p w14:paraId="6F14ED69" w14:textId="77777777" w:rsidR="007D129E" w:rsidRPr="003B2993" w:rsidRDefault="007D129E" w:rsidP="00FF7F38">
      <w:pPr>
        <w:ind w:left="-540"/>
        <w:jc w:val="both"/>
      </w:pPr>
    </w:p>
    <w:p w14:paraId="63ED53DE" w14:textId="4A89EB04" w:rsidR="00E11D94" w:rsidRPr="003B2993" w:rsidRDefault="00E11D94" w:rsidP="00FF7F38">
      <w:pPr>
        <w:ind w:left="-540"/>
        <w:jc w:val="both"/>
        <w:rPr>
          <w:i/>
          <w:iCs/>
          <w:sz w:val="22"/>
        </w:rPr>
      </w:pPr>
      <w:r w:rsidRPr="003B2993">
        <w:rPr>
          <w:i/>
          <w:iCs/>
          <w:sz w:val="22"/>
        </w:rPr>
        <w:t>Other Matter</w:t>
      </w:r>
      <w:r w:rsidR="0035494B">
        <w:rPr>
          <w:i/>
          <w:iCs/>
          <w:sz w:val="22"/>
        </w:rPr>
        <w:t>s</w:t>
      </w:r>
    </w:p>
    <w:p w14:paraId="22B74D48" w14:textId="77777777" w:rsidR="00E11D94" w:rsidRPr="003B2993" w:rsidRDefault="00E11D94" w:rsidP="00FF7F38">
      <w:pPr>
        <w:ind w:left="-540"/>
        <w:jc w:val="both"/>
        <w:rPr>
          <w:sz w:val="22"/>
        </w:rPr>
      </w:pPr>
    </w:p>
    <w:p w14:paraId="7D7BED23" w14:textId="081E9339" w:rsidR="000D03F4" w:rsidRDefault="00C6550C" w:rsidP="00FF7F38">
      <w:pPr>
        <w:ind w:left="-540"/>
        <w:jc w:val="both"/>
        <w:rPr>
          <w:sz w:val="22"/>
          <w:szCs w:val="22"/>
        </w:rPr>
      </w:pPr>
      <w:r w:rsidRPr="003B2993">
        <w:rPr>
          <w:sz w:val="22"/>
          <w:szCs w:val="22"/>
        </w:rPr>
        <w:t xml:space="preserve">The statement of financial position in which the equity method is applied and separate statement of financial position of </w:t>
      </w:r>
      <w:r w:rsidRPr="007412C5">
        <w:rPr>
          <w:sz w:val="22"/>
          <w:szCs w:val="22"/>
        </w:rPr>
        <w:t>Thai Rayon Public Company Limited as at 31 March 2020</w:t>
      </w:r>
      <w:r w:rsidR="004E2286" w:rsidRPr="007412C5">
        <w:rPr>
          <w:sz w:val="22"/>
          <w:szCs w:val="22"/>
        </w:rPr>
        <w:t xml:space="preserve"> </w:t>
      </w:r>
      <w:r w:rsidRPr="007412C5">
        <w:rPr>
          <w:sz w:val="22"/>
          <w:szCs w:val="22"/>
        </w:rPr>
        <w:t xml:space="preserve">which are included as comparative information, </w:t>
      </w:r>
      <w:r w:rsidR="00C8652F" w:rsidRPr="007412C5">
        <w:rPr>
          <w:sz w:val="22"/>
          <w:szCs w:val="22"/>
        </w:rPr>
        <w:t xml:space="preserve">are components of </w:t>
      </w:r>
      <w:r w:rsidR="007412C5" w:rsidRPr="007412C5">
        <w:rPr>
          <w:sz w:val="22"/>
          <w:szCs w:val="22"/>
        </w:rPr>
        <w:t xml:space="preserve">the audited </w:t>
      </w:r>
      <w:r w:rsidR="00C8652F" w:rsidRPr="007412C5">
        <w:rPr>
          <w:sz w:val="22"/>
          <w:szCs w:val="22"/>
        </w:rPr>
        <w:t>financial statements as at and for the year ended 31 March 2020</w:t>
      </w:r>
      <w:r w:rsidR="007412C5" w:rsidRPr="007412C5">
        <w:rPr>
          <w:sz w:val="22"/>
          <w:szCs w:val="22"/>
        </w:rPr>
        <w:t>,</w:t>
      </w:r>
      <w:r w:rsidR="00C8652F" w:rsidRPr="007412C5">
        <w:rPr>
          <w:sz w:val="22"/>
          <w:szCs w:val="22"/>
        </w:rPr>
        <w:t xml:space="preserve"> which</w:t>
      </w:r>
      <w:r w:rsidR="00C8652F">
        <w:rPr>
          <w:sz w:val="22"/>
          <w:szCs w:val="22"/>
        </w:rPr>
        <w:t xml:space="preserve"> </w:t>
      </w:r>
      <w:r w:rsidRPr="003B2993">
        <w:rPr>
          <w:sz w:val="22"/>
          <w:szCs w:val="22"/>
        </w:rPr>
        <w:t>were audited by another auditor who expressed a qualified opinion thereon in h</w:t>
      </w:r>
      <w:r w:rsidR="000D03F4" w:rsidRPr="003B2993">
        <w:rPr>
          <w:sz w:val="22"/>
          <w:szCs w:val="22"/>
        </w:rPr>
        <w:t>er</w:t>
      </w:r>
      <w:r w:rsidRPr="003B2993">
        <w:rPr>
          <w:sz w:val="22"/>
          <w:szCs w:val="22"/>
        </w:rPr>
        <w:t xml:space="preserve"> report dated 26 June 2020 for the inability to obtain sufficient appropriate audit evidence on the value </w:t>
      </w:r>
      <w:r w:rsidR="000D03F4" w:rsidRPr="003B2993">
        <w:rPr>
          <w:sz w:val="22"/>
          <w:szCs w:val="22"/>
        </w:rPr>
        <w:t>of investments in associates</w:t>
      </w:r>
      <w:r w:rsidR="004A557A">
        <w:rPr>
          <w:sz w:val="22"/>
          <w:szCs w:val="22"/>
        </w:rPr>
        <w:t xml:space="preserve"> under the equity method</w:t>
      </w:r>
      <w:r w:rsidR="000D03F4" w:rsidRPr="003B2993">
        <w:rPr>
          <w:sz w:val="22"/>
          <w:szCs w:val="22"/>
        </w:rPr>
        <w:t xml:space="preserve"> </w:t>
      </w:r>
      <w:r w:rsidR="00E86B78" w:rsidRPr="003B2993">
        <w:rPr>
          <w:sz w:val="22"/>
          <w:szCs w:val="22"/>
        </w:rPr>
        <w:t xml:space="preserve">namely, Aditya Birla Chemicals (Thailand) Limited (“ABCT”), Birla Carbon (Thailand) Public Company Limited </w:t>
      </w:r>
      <w:r w:rsidR="00273E0B" w:rsidRPr="003B2993">
        <w:rPr>
          <w:sz w:val="22"/>
          <w:szCs w:val="22"/>
        </w:rPr>
        <w:t xml:space="preserve">(“BCT”) </w:t>
      </w:r>
      <w:r w:rsidR="00E86B78" w:rsidRPr="003B2993">
        <w:rPr>
          <w:sz w:val="22"/>
          <w:szCs w:val="22"/>
        </w:rPr>
        <w:t xml:space="preserve">and Thai Polyphosphate </w:t>
      </w:r>
      <w:r w:rsidR="001A3BD7">
        <w:rPr>
          <w:sz w:val="22"/>
          <w:szCs w:val="22"/>
        </w:rPr>
        <w:t>&amp;</w:t>
      </w:r>
      <w:r w:rsidR="00E86B78" w:rsidRPr="003B2993">
        <w:rPr>
          <w:sz w:val="22"/>
          <w:szCs w:val="22"/>
        </w:rPr>
        <w:t xml:space="preserve"> Chemicals Company Limited</w:t>
      </w:r>
      <w:r w:rsidR="00273E0B" w:rsidRPr="003B2993">
        <w:rPr>
          <w:sz w:val="22"/>
          <w:szCs w:val="22"/>
        </w:rPr>
        <w:t xml:space="preserve"> </w:t>
      </w:r>
      <w:r w:rsidR="00E86B78" w:rsidRPr="003B2993">
        <w:rPr>
          <w:sz w:val="22"/>
          <w:szCs w:val="22"/>
        </w:rPr>
        <w:t xml:space="preserve">(in which the Company holds 29.98%, 24.98% and 49.00% interests, respectively), amounting to Baht </w:t>
      </w:r>
      <w:r w:rsidR="00F23E84" w:rsidRPr="003B2993">
        <w:rPr>
          <w:sz w:val="22"/>
          <w:szCs w:val="22"/>
        </w:rPr>
        <w:t>4,255</w:t>
      </w:r>
      <w:r w:rsidR="00E86B78" w:rsidRPr="003B2993">
        <w:rPr>
          <w:sz w:val="22"/>
          <w:szCs w:val="22"/>
        </w:rPr>
        <w:t xml:space="preserve"> million, Baht </w:t>
      </w:r>
      <w:r w:rsidR="00F23E84" w:rsidRPr="003B2993">
        <w:rPr>
          <w:sz w:val="22"/>
          <w:szCs w:val="22"/>
        </w:rPr>
        <w:t>5,018</w:t>
      </w:r>
      <w:r w:rsidR="00E86B78" w:rsidRPr="003B2993">
        <w:rPr>
          <w:sz w:val="22"/>
          <w:szCs w:val="22"/>
        </w:rPr>
        <w:t xml:space="preserve"> million</w:t>
      </w:r>
      <w:r w:rsidR="0015326F" w:rsidRPr="003B2993">
        <w:rPr>
          <w:sz w:val="22"/>
          <w:szCs w:val="22"/>
        </w:rPr>
        <w:t xml:space="preserve"> and</w:t>
      </w:r>
      <w:r w:rsidR="00E86B78" w:rsidRPr="003B2993">
        <w:rPr>
          <w:sz w:val="22"/>
          <w:szCs w:val="22"/>
        </w:rPr>
        <w:t xml:space="preserve"> Baht 3,</w:t>
      </w:r>
      <w:r w:rsidR="00F23E84" w:rsidRPr="003B2993">
        <w:rPr>
          <w:sz w:val="22"/>
          <w:szCs w:val="22"/>
        </w:rPr>
        <w:t>354</w:t>
      </w:r>
      <w:r w:rsidR="00E86B78" w:rsidRPr="003B2993">
        <w:rPr>
          <w:sz w:val="22"/>
          <w:szCs w:val="22"/>
        </w:rPr>
        <w:t xml:space="preserve"> million, respectively, which are included in investments in associates presented in the </w:t>
      </w:r>
      <w:r w:rsidR="00E86B78" w:rsidRPr="00F26CD8">
        <w:rPr>
          <w:sz w:val="22"/>
          <w:szCs w:val="22"/>
        </w:rPr>
        <w:t xml:space="preserve">statement of financial position </w:t>
      </w:r>
      <w:r w:rsidR="0035494B" w:rsidRPr="00F26CD8">
        <w:rPr>
          <w:rFonts w:cs="Angsana New"/>
          <w:sz w:val="22"/>
          <w:lang w:bidi="th-TH"/>
        </w:rPr>
        <w:t xml:space="preserve">in which the equity method is applied </w:t>
      </w:r>
      <w:r w:rsidR="00E86B78" w:rsidRPr="00F26CD8">
        <w:rPr>
          <w:sz w:val="22"/>
          <w:szCs w:val="22"/>
        </w:rPr>
        <w:t>as at 3</w:t>
      </w:r>
      <w:r w:rsidR="00F23E84" w:rsidRPr="00F26CD8">
        <w:rPr>
          <w:sz w:val="22"/>
          <w:szCs w:val="22"/>
        </w:rPr>
        <w:t>1</w:t>
      </w:r>
      <w:r w:rsidR="00E86B78" w:rsidRPr="00F26CD8">
        <w:rPr>
          <w:sz w:val="22"/>
          <w:szCs w:val="22"/>
        </w:rPr>
        <w:t xml:space="preserve"> </w:t>
      </w:r>
      <w:r w:rsidR="00F23E84" w:rsidRPr="00F26CD8">
        <w:rPr>
          <w:sz w:val="22"/>
          <w:szCs w:val="22"/>
        </w:rPr>
        <w:t>March</w:t>
      </w:r>
      <w:r w:rsidR="00E86B78" w:rsidRPr="00F26CD8">
        <w:rPr>
          <w:sz w:val="22"/>
          <w:szCs w:val="22"/>
        </w:rPr>
        <w:t xml:space="preserve"> 20</w:t>
      </w:r>
      <w:r w:rsidR="00F23E84" w:rsidRPr="00F26CD8">
        <w:rPr>
          <w:sz w:val="22"/>
          <w:szCs w:val="22"/>
        </w:rPr>
        <w:t>20</w:t>
      </w:r>
      <w:r w:rsidR="00E86B78" w:rsidRPr="00F26CD8">
        <w:rPr>
          <w:sz w:val="22"/>
          <w:szCs w:val="22"/>
        </w:rPr>
        <w:t xml:space="preserve">. </w:t>
      </w:r>
      <w:r w:rsidR="003E7F9F" w:rsidRPr="00F26CD8">
        <w:rPr>
          <w:sz w:val="22"/>
          <w:szCs w:val="22"/>
        </w:rPr>
        <w:t xml:space="preserve">Furthermore, </w:t>
      </w:r>
      <w:r w:rsidR="008A0F8A" w:rsidRPr="00F26CD8">
        <w:rPr>
          <w:rFonts w:cs="Angsana New"/>
          <w:sz w:val="22"/>
          <w:lang w:bidi="th-TH"/>
        </w:rPr>
        <w:t>the related statement of income</w:t>
      </w:r>
      <w:r w:rsidR="008A0F8A" w:rsidRPr="00F26CD8">
        <w:rPr>
          <w:rFonts w:cs="Angsana New" w:hint="cs"/>
          <w:sz w:val="22"/>
          <w:cs/>
          <w:lang w:bidi="th-TH"/>
        </w:rPr>
        <w:t xml:space="preserve"> </w:t>
      </w:r>
      <w:r w:rsidR="008A0F8A" w:rsidRPr="00F26CD8">
        <w:rPr>
          <w:rFonts w:cs="Angsana New"/>
          <w:sz w:val="22"/>
          <w:lang w:bidi="th-TH"/>
        </w:rPr>
        <w:t>in which the equity method is applied and separate statement of income, the statement of comprehensive income in which the equity method is applied and separate statement of comprehensive income</w:t>
      </w:r>
      <w:r w:rsidR="003C3DF6">
        <w:rPr>
          <w:rFonts w:cs="Angsana New"/>
          <w:sz w:val="22"/>
          <w:lang w:bidi="th-TH"/>
        </w:rPr>
        <w:t xml:space="preserve"> for the three-month and six-month periods ended 30 September 2019</w:t>
      </w:r>
      <w:r w:rsidR="008A0F8A" w:rsidRPr="00F26CD8">
        <w:rPr>
          <w:rFonts w:cs="Angsana New"/>
          <w:sz w:val="22"/>
          <w:lang w:bidi="th-TH"/>
        </w:rPr>
        <w:t xml:space="preserve">, the statement of changes in equity in which the equity method is applied and separate statement of changes in equity and the statement of cash flows in which the equity method is applied and the separate statement of cash flows for the </w:t>
      </w:r>
      <w:r w:rsidR="00D7609E">
        <w:rPr>
          <w:rFonts w:cs="Angsana New"/>
          <w:sz w:val="22"/>
          <w:lang w:bidi="th-TH"/>
        </w:rPr>
        <w:t>six</w:t>
      </w:r>
      <w:r w:rsidR="008A0F8A" w:rsidRPr="00F26CD8">
        <w:rPr>
          <w:rFonts w:cs="Angsana New"/>
          <w:sz w:val="22"/>
          <w:lang w:bidi="th-TH"/>
        </w:rPr>
        <w:t xml:space="preserve">-month period ended 30 </w:t>
      </w:r>
      <w:r w:rsidR="00D7609E">
        <w:rPr>
          <w:rFonts w:cs="Angsana New"/>
          <w:sz w:val="22"/>
          <w:lang w:bidi="th-TH"/>
        </w:rPr>
        <w:t xml:space="preserve">September </w:t>
      </w:r>
      <w:r w:rsidR="008A0F8A" w:rsidRPr="00F26CD8">
        <w:rPr>
          <w:rFonts w:cs="Angsana New"/>
          <w:sz w:val="22"/>
          <w:lang w:bidi="th-TH"/>
        </w:rPr>
        <w:t>2019</w:t>
      </w:r>
      <w:r w:rsidR="008A0F8A">
        <w:rPr>
          <w:rFonts w:cs="Angsana New"/>
          <w:sz w:val="22"/>
          <w:lang w:bidi="th-TH"/>
        </w:rPr>
        <w:t xml:space="preserve"> </w:t>
      </w:r>
      <w:r w:rsidR="003E7F9F" w:rsidRPr="003B2993">
        <w:rPr>
          <w:sz w:val="22"/>
          <w:szCs w:val="22"/>
        </w:rPr>
        <w:t xml:space="preserve">of Thai Rayon Public Company Limited </w:t>
      </w:r>
      <w:r w:rsidR="006A19EF" w:rsidRPr="003B2993">
        <w:rPr>
          <w:sz w:val="22"/>
          <w:szCs w:val="22"/>
        </w:rPr>
        <w:t xml:space="preserve">which are included as comparative information, were reviewed by another auditor who expressed a qualified conclusion thereon in her report dated </w:t>
      </w:r>
      <w:r w:rsidR="006A19EF" w:rsidRPr="00D7609E">
        <w:rPr>
          <w:sz w:val="22"/>
          <w:szCs w:val="22"/>
        </w:rPr>
        <w:t>1</w:t>
      </w:r>
      <w:r w:rsidR="00D7609E" w:rsidRPr="00D7609E">
        <w:rPr>
          <w:sz w:val="22"/>
          <w:szCs w:val="22"/>
        </w:rPr>
        <w:t>3</w:t>
      </w:r>
      <w:r w:rsidR="006A19EF" w:rsidRPr="00D7609E">
        <w:rPr>
          <w:sz w:val="22"/>
          <w:szCs w:val="22"/>
        </w:rPr>
        <w:t xml:space="preserve"> </w:t>
      </w:r>
      <w:r w:rsidR="00D7609E" w:rsidRPr="00D7609E">
        <w:rPr>
          <w:sz w:val="22"/>
          <w:szCs w:val="22"/>
        </w:rPr>
        <w:t>November</w:t>
      </w:r>
      <w:r w:rsidR="006A19EF" w:rsidRPr="00D7609E">
        <w:rPr>
          <w:sz w:val="22"/>
          <w:szCs w:val="22"/>
        </w:rPr>
        <w:t xml:space="preserve"> 2019</w:t>
      </w:r>
      <w:r w:rsidR="00E86B78" w:rsidRPr="003B2993">
        <w:rPr>
          <w:sz w:val="22"/>
          <w:szCs w:val="22"/>
        </w:rPr>
        <w:t xml:space="preserve"> for the inability to obtain sufficient appropriate audit evidence on the value of investments in associates</w:t>
      </w:r>
      <w:r w:rsidR="004A557A">
        <w:rPr>
          <w:sz w:val="22"/>
          <w:szCs w:val="22"/>
        </w:rPr>
        <w:t xml:space="preserve"> under the equity method</w:t>
      </w:r>
      <w:r w:rsidR="00E86B78" w:rsidRPr="003B2993">
        <w:rPr>
          <w:sz w:val="22"/>
          <w:szCs w:val="22"/>
        </w:rPr>
        <w:t xml:space="preserve"> namely, </w:t>
      </w:r>
      <w:r w:rsidR="00273E0B" w:rsidRPr="003B2993">
        <w:rPr>
          <w:sz w:val="22"/>
          <w:szCs w:val="22"/>
        </w:rPr>
        <w:t>ABCT, BCT and TPC</w:t>
      </w:r>
      <w:r w:rsidR="00E86B78" w:rsidRPr="003B2993">
        <w:rPr>
          <w:sz w:val="22"/>
          <w:szCs w:val="22"/>
        </w:rPr>
        <w:t xml:space="preserve"> (in which the Company holds 29.98%, 24.98% and 49.00% interests, respectively), amounting to Baht </w:t>
      </w:r>
      <w:r w:rsidR="00E86B78" w:rsidRPr="00D7609E">
        <w:rPr>
          <w:sz w:val="22"/>
          <w:szCs w:val="22"/>
        </w:rPr>
        <w:t>3,</w:t>
      </w:r>
      <w:r w:rsidR="00D7609E" w:rsidRPr="00D7609E">
        <w:rPr>
          <w:sz w:val="22"/>
          <w:szCs w:val="22"/>
        </w:rPr>
        <w:t>869</w:t>
      </w:r>
      <w:r w:rsidR="00E86B78" w:rsidRPr="00D7609E">
        <w:rPr>
          <w:sz w:val="22"/>
          <w:szCs w:val="22"/>
        </w:rPr>
        <w:t xml:space="preserve"> million, Baht 4,6</w:t>
      </w:r>
      <w:r w:rsidR="00D7609E" w:rsidRPr="00D7609E">
        <w:rPr>
          <w:sz w:val="22"/>
          <w:szCs w:val="22"/>
        </w:rPr>
        <w:t>48</w:t>
      </w:r>
      <w:r w:rsidR="00E86B78" w:rsidRPr="00D7609E">
        <w:rPr>
          <w:sz w:val="22"/>
          <w:szCs w:val="22"/>
        </w:rPr>
        <w:t xml:space="preserve"> million</w:t>
      </w:r>
      <w:r w:rsidR="0015326F" w:rsidRPr="00D7609E">
        <w:rPr>
          <w:sz w:val="22"/>
          <w:szCs w:val="22"/>
        </w:rPr>
        <w:t xml:space="preserve"> and</w:t>
      </w:r>
      <w:r w:rsidR="00E86B78" w:rsidRPr="00D7609E">
        <w:rPr>
          <w:sz w:val="22"/>
          <w:szCs w:val="22"/>
        </w:rPr>
        <w:t xml:space="preserve"> Baht 3,1</w:t>
      </w:r>
      <w:r w:rsidR="00D7609E" w:rsidRPr="00D7609E">
        <w:rPr>
          <w:sz w:val="22"/>
          <w:szCs w:val="22"/>
        </w:rPr>
        <w:t>02</w:t>
      </w:r>
      <w:r w:rsidR="00E86B78" w:rsidRPr="00D7609E">
        <w:rPr>
          <w:sz w:val="22"/>
          <w:szCs w:val="22"/>
        </w:rPr>
        <w:t xml:space="preserve"> million,</w:t>
      </w:r>
      <w:r w:rsidR="00E86B78" w:rsidRPr="003B2993">
        <w:rPr>
          <w:sz w:val="22"/>
          <w:szCs w:val="22"/>
        </w:rPr>
        <w:t xml:space="preserve"> respectively, which are included in investments in associates presented in the statement of financial position </w:t>
      </w:r>
      <w:r w:rsidR="0035494B" w:rsidRPr="00223EBC">
        <w:rPr>
          <w:rFonts w:cs="Angsana New"/>
          <w:sz w:val="22"/>
          <w:lang w:bidi="th-TH"/>
        </w:rPr>
        <w:t xml:space="preserve">in which the equity method is applied </w:t>
      </w:r>
      <w:r w:rsidR="00E86B78" w:rsidRPr="003B2993">
        <w:rPr>
          <w:sz w:val="22"/>
          <w:szCs w:val="22"/>
        </w:rPr>
        <w:t xml:space="preserve">as at 30 </w:t>
      </w:r>
      <w:r w:rsidR="00D7609E">
        <w:rPr>
          <w:sz w:val="22"/>
          <w:szCs w:val="22"/>
        </w:rPr>
        <w:t>September</w:t>
      </w:r>
      <w:r w:rsidR="00E86B78" w:rsidRPr="003B2993">
        <w:rPr>
          <w:sz w:val="22"/>
          <w:szCs w:val="22"/>
        </w:rPr>
        <w:t xml:space="preserve"> 2019</w:t>
      </w:r>
      <w:r w:rsidR="009B6663">
        <w:rPr>
          <w:sz w:val="22"/>
          <w:szCs w:val="22"/>
        </w:rPr>
        <w:t xml:space="preserve"> and share of loss of</w:t>
      </w:r>
      <w:r w:rsidR="00C70901">
        <w:rPr>
          <w:sz w:val="22"/>
          <w:szCs w:val="22"/>
        </w:rPr>
        <w:t xml:space="preserve"> </w:t>
      </w:r>
      <w:r w:rsidR="009B6663">
        <w:rPr>
          <w:sz w:val="22"/>
          <w:szCs w:val="22"/>
        </w:rPr>
        <w:t>associates accounted for using equity method for the thre</w:t>
      </w:r>
      <w:r w:rsidR="003C3DF6">
        <w:rPr>
          <w:sz w:val="22"/>
          <w:szCs w:val="22"/>
        </w:rPr>
        <w:t xml:space="preserve">e-month </w:t>
      </w:r>
      <w:r w:rsidR="00D7609E">
        <w:rPr>
          <w:sz w:val="22"/>
          <w:szCs w:val="22"/>
        </w:rPr>
        <w:t>and six</w:t>
      </w:r>
      <w:r w:rsidR="009B6663">
        <w:rPr>
          <w:sz w:val="22"/>
          <w:szCs w:val="22"/>
        </w:rPr>
        <w:t>-month period</w:t>
      </w:r>
      <w:r w:rsidR="003C3DF6">
        <w:rPr>
          <w:sz w:val="22"/>
          <w:szCs w:val="22"/>
        </w:rPr>
        <w:t>s</w:t>
      </w:r>
      <w:r w:rsidR="009B6663">
        <w:rPr>
          <w:sz w:val="22"/>
          <w:szCs w:val="22"/>
        </w:rPr>
        <w:t xml:space="preserve"> then ended</w:t>
      </w:r>
      <w:r w:rsidR="00E86B78" w:rsidRPr="003B2993">
        <w:rPr>
          <w:sz w:val="22"/>
          <w:szCs w:val="22"/>
        </w:rPr>
        <w:t>.</w:t>
      </w:r>
    </w:p>
    <w:p w14:paraId="11D1990A" w14:textId="43F54174" w:rsidR="00C6550C" w:rsidRPr="00273E0B" w:rsidRDefault="00273E0B" w:rsidP="00FF7F38">
      <w:pPr>
        <w:ind w:left="-540"/>
        <w:jc w:val="both"/>
        <w:rPr>
          <w:sz w:val="22"/>
          <w:szCs w:val="22"/>
        </w:rPr>
      </w:pPr>
      <w:r w:rsidRPr="003B2993">
        <w:rPr>
          <w:sz w:val="22"/>
          <w:szCs w:val="22"/>
        </w:rPr>
        <w:lastRenderedPageBreak/>
        <w:t>Nevertheless</w:t>
      </w:r>
      <w:r w:rsidR="00C6550C" w:rsidRPr="003B2993">
        <w:rPr>
          <w:sz w:val="22"/>
          <w:szCs w:val="22"/>
        </w:rPr>
        <w:t>,</w:t>
      </w:r>
      <w:r w:rsidRPr="003B2993">
        <w:rPr>
          <w:sz w:val="22"/>
          <w:szCs w:val="22"/>
        </w:rPr>
        <w:t xml:space="preserve"> </w:t>
      </w:r>
      <w:r w:rsidR="00C6550C" w:rsidRPr="003B2993">
        <w:rPr>
          <w:sz w:val="22"/>
          <w:szCs w:val="22"/>
        </w:rPr>
        <w:t xml:space="preserve">the auditor of ABCT expressed </w:t>
      </w:r>
      <w:r w:rsidRPr="003B2993">
        <w:rPr>
          <w:sz w:val="22"/>
          <w:szCs w:val="22"/>
        </w:rPr>
        <w:t xml:space="preserve">an </w:t>
      </w:r>
      <w:r w:rsidR="00C6550C" w:rsidRPr="003B2993">
        <w:rPr>
          <w:sz w:val="22"/>
          <w:szCs w:val="22"/>
        </w:rPr>
        <w:t xml:space="preserve">unqualified </w:t>
      </w:r>
      <w:r w:rsidR="00D86BAF" w:rsidRPr="003B2993">
        <w:rPr>
          <w:sz w:val="22"/>
          <w:szCs w:val="22"/>
        </w:rPr>
        <w:t>opinion</w:t>
      </w:r>
      <w:r w:rsidR="00C6550C" w:rsidRPr="003B2993">
        <w:rPr>
          <w:sz w:val="22"/>
          <w:szCs w:val="22"/>
        </w:rPr>
        <w:t xml:space="preserve"> </w:t>
      </w:r>
      <w:r w:rsidRPr="003B2993">
        <w:rPr>
          <w:sz w:val="22"/>
          <w:szCs w:val="22"/>
        </w:rPr>
        <w:t xml:space="preserve">in his </w:t>
      </w:r>
      <w:r w:rsidR="00D86BAF" w:rsidRPr="003B2993">
        <w:rPr>
          <w:sz w:val="22"/>
          <w:szCs w:val="22"/>
        </w:rPr>
        <w:t>audit</w:t>
      </w:r>
      <w:r w:rsidRPr="003B2993">
        <w:rPr>
          <w:sz w:val="22"/>
          <w:szCs w:val="22"/>
        </w:rPr>
        <w:t xml:space="preserve"> report dated </w:t>
      </w:r>
      <w:r w:rsidR="00D86BAF" w:rsidRPr="003B2993">
        <w:rPr>
          <w:sz w:val="22"/>
          <w:szCs w:val="22"/>
        </w:rPr>
        <w:t>13</w:t>
      </w:r>
      <w:r w:rsidRPr="003B2993">
        <w:rPr>
          <w:sz w:val="22"/>
          <w:szCs w:val="22"/>
        </w:rPr>
        <w:t xml:space="preserve"> </w:t>
      </w:r>
      <w:r w:rsidR="00D86BAF" w:rsidRPr="003B2993">
        <w:rPr>
          <w:sz w:val="22"/>
          <w:szCs w:val="22"/>
        </w:rPr>
        <w:t xml:space="preserve">August </w:t>
      </w:r>
      <w:r w:rsidRPr="003B2993">
        <w:rPr>
          <w:sz w:val="22"/>
          <w:szCs w:val="22"/>
        </w:rPr>
        <w:t>2</w:t>
      </w:r>
      <w:r w:rsidRPr="003B2993">
        <w:rPr>
          <w:rFonts w:cstheme="minorBidi"/>
          <w:sz w:val="22"/>
          <w:szCs w:val="28"/>
          <w:lang w:bidi="th-TH"/>
        </w:rPr>
        <w:t xml:space="preserve">020 </w:t>
      </w:r>
      <w:r w:rsidR="009B6663">
        <w:rPr>
          <w:rFonts w:cstheme="minorBidi"/>
          <w:sz w:val="22"/>
          <w:szCs w:val="28"/>
          <w:lang w:bidi="th-TH"/>
        </w:rPr>
        <w:t xml:space="preserve">on the financial statements </w:t>
      </w:r>
      <w:r w:rsidR="00C6550C" w:rsidRPr="003B2993">
        <w:rPr>
          <w:sz w:val="22"/>
          <w:szCs w:val="22"/>
        </w:rPr>
        <w:t xml:space="preserve">for the </w:t>
      </w:r>
      <w:r w:rsidR="00D86BAF" w:rsidRPr="003B2993">
        <w:rPr>
          <w:sz w:val="22"/>
          <w:szCs w:val="22"/>
        </w:rPr>
        <w:t>year</w:t>
      </w:r>
      <w:r w:rsidR="00C6550C" w:rsidRPr="003B2993">
        <w:rPr>
          <w:sz w:val="22"/>
          <w:szCs w:val="22"/>
        </w:rPr>
        <w:t xml:space="preserve"> ended 3</w:t>
      </w:r>
      <w:r w:rsidR="00D86BAF" w:rsidRPr="003B2993">
        <w:rPr>
          <w:sz w:val="22"/>
          <w:szCs w:val="22"/>
        </w:rPr>
        <w:t>1</w:t>
      </w:r>
      <w:r w:rsidR="00C6550C" w:rsidRPr="003B2993">
        <w:rPr>
          <w:sz w:val="22"/>
          <w:szCs w:val="22"/>
        </w:rPr>
        <w:t xml:space="preserve"> </w:t>
      </w:r>
      <w:r w:rsidR="00D86BAF" w:rsidRPr="003B2993">
        <w:rPr>
          <w:sz w:val="22"/>
          <w:szCs w:val="22"/>
        </w:rPr>
        <w:t>March</w:t>
      </w:r>
      <w:r w:rsidR="00C6550C" w:rsidRPr="003B2993">
        <w:rPr>
          <w:sz w:val="22"/>
          <w:szCs w:val="22"/>
        </w:rPr>
        <w:t xml:space="preserve"> 20</w:t>
      </w:r>
      <w:r w:rsidR="00D86BAF" w:rsidRPr="003B2993">
        <w:rPr>
          <w:sz w:val="22"/>
          <w:szCs w:val="22"/>
        </w:rPr>
        <w:t>20</w:t>
      </w:r>
      <w:r w:rsidR="009B6663">
        <w:rPr>
          <w:sz w:val="22"/>
          <w:szCs w:val="22"/>
        </w:rPr>
        <w:t xml:space="preserve"> and </w:t>
      </w:r>
      <w:r w:rsidR="007500DC" w:rsidRPr="003B2993">
        <w:rPr>
          <w:sz w:val="22"/>
          <w:szCs w:val="22"/>
        </w:rPr>
        <w:t>the auditor of BCT expressed an unqualified opinion in her auditor’s report dated 29 May 2020</w:t>
      </w:r>
      <w:r w:rsidR="00FF36A2">
        <w:rPr>
          <w:sz w:val="22"/>
          <w:szCs w:val="22"/>
        </w:rPr>
        <w:t xml:space="preserve"> </w:t>
      </w:r>
      <w:r w:rsidR="00FF36A2">
        <w:rPr>
          <w:rFonts w:cstheme="minorBidi"/>
          <w:sz w:val="22"/>
          <w:szCs w:val="28"/>
          <w:lang w:bidi="th-TH"/>
        </w:rPr>
        <w:t xml:space="preserve">on the financial statements </w:t>
      </w:r>
      <w:r w:rsidR="00FF36A2" w:rsidRPr="003B2993">
        <w:rPr>
          <w:sz w:val="22"/>
          <w:szCs w:val="22"/>
        </w:rPr>
        <w:t>for the year ended 31 March 2020</w:t>
      </w:r>
      <w:r w:rsidR="009B6663">
        <w:rPr>
          <w:sz w:val="22"/>
          <w:szCs w:val="22"/>
        </w:rPr>
        <w:t>.</w:t>
      </w:r>
      <w:r w:rsidR="007500DC" w:rsidRPr="003B2993">
        <w:rPr>
          <w:sz w:val="22"/>
          <w:szCs w:val="22"/>
        </w:rPr>
        <w:t xml:space="preserve"> </w:t>
      </w:r>
      <w:r w:rsidR="00C6550C" w:rsidRPr="00273E0B">
        <w:rPr>
          <w:sz w:val="22"/>
          <w:szCs w:val="22"/>
        </w:rPr>
        <w:t xml:space="preserve">As a consequence, and after further </w:t>
      </w:r>
      <w:r w:rsidR="009B6663">
        <w:rPr>
          <w:sz w:val="22"/>
          <w:szCs w:val="22"/>
        </w:rPr>
        <w:t xml:space="preserve">communication </w:t>
      </w:r>
      <w:r w:rsidR="00C6550C" w:rsidRPr="00273E0B">
        <w:rPr>
          <w:sz w:val="22"/>
          <w:szCs w:val="22"/>
        </w:rPr>
        <w:t xml:space="preserve">with the auditors of ABCT and BCT, I am able to conclude that no adjustments are necessary to the </w:t>
      </w:r>
      <w:r w:rsidR="00D8561A">
        <w:rPr>
          <w:sz w:val="22"/>
          <w:szCs w:val="22"/>
        </w:rPr>
        <w:t>carrying amount of the investments</w:t>
      </w:r>
      <w:r w:rsidR="004A557A">
        <w:rPr>
          <w:sz w:val="22"/>
          <w:szCs w:val="22"/>
        </w:rPr>
        <w:t xml:space="preserve"> accounted for using equity method</w:t>
      </w:r>
      <w:r w:rsidR="00D8561A">
        <w:rPr>
          <w:sz w:val="22"/>
          <w:szCs w:val="22"/>
        </w:rPr>
        <w:t xml:space="preserve"> in these two</w:t>
      </w:r>
      <w:r w:rsidR="00C6550C" w:rsidRPr="00273E0B">
        <w:rPr>
          <w:sz w:val="22"/>
          <w:szCs w:val="22"/>
        </w:rPr>
        <w:t xml:space="preserve"> </w:t>
      </w:r>
      <w:r w:rsidR="00D8561A">
        <w:rPr>
          <w:sz w:val="22"/>
          <w:szCs w:val="22"/>
        </w:rPr>
        <w:t xml:space="preserve">associates </w:t>
      </w:r>
      <w:r w:rsidR="00A815E8" w:rsidRPr="00F23E84">
        <w:rPr>
          <w:sz w:val="22"/>
          <w:szCs w:val="22"/>
        </w:rPr>
        <w:t xml:space="preserve">which are included in investments in associates presented in the statement of financial position </w:t>
      </w:r>
      <w:r w:rsidR="00A815E8">
        <w:rPr>
          <w:sz w:val="22"/>
          <w:szCs w:val="22"/>
        </w:rPr>
        <w:t>in which</w:t>
      </w:r>
      <w:r w:rsidR="00A815E8" w:rsidRPr="00F23E84">
        <w:rPr>
          <w:sz w:val="22"/>
          <w:szCs w:val="22"/>
        </w:rPr>
        <w:t xml:space="preserve"> the equity method </w:t>
      </w:r>
      <w:r w:rsidR="00A815E8">
        <w:rPr>
          <w:sz w:val="22"/>
          <w:szCs w:val="22"/>
        </w:rPr>
        <w:t xml:space="preserve">is applied </w:t>
      </w:r>
      <w:r w:rsidR="00A815E8" w:rsidRPr="00F23E84">
        <w:rPr>
          <w:sz w:val="22"/>
          <w:szCs w:val="22"/>
        </w:rPr>
        <w:t>as at 3</w:t>
      </w:r>
      <w:r w:rsidR="00A815E8">
        <w:rPr>
          <w:sz w:val="22"/>
          <w:szCs w:val="22"/>
        </w:rPr>
        <w:t>1</w:t>
      </w:r>
      <w:r w:rsidR="00A815E8" w:rsidRPr="00F23E84">
        <w:rPr>
          <w:sz w:val="22"/>
          <w:szCs w:val="22"/>
        </w:rPr>
        <w:t xml:space="preserve"> </w:t>
      </w:r>
      <w:r w:rsidR="00A815E8">
        <w:rPr>
          <w:sz w:val="22"/>
          <w:szCs w:val="22"/>
        </w:rPr>
        <w:t>March</w:t>
      </w:r>
      <w:r w:rsidR="00A815E8" w:rsidRPr="00F23E84">
        <w:rPr>
          <w:sz w:val="22"/>
          <w:szCs w:val="22"/>
        </w:rPr>
        <w:t xml:space="preserve"> </w:t>
      </w:r>
      <w:r w:rsidR="00A815E8" w:rsidRPr="00E772FC">
        <w:rPr>
          <w:sz w:val="22"/>
          <w:szCs w:val="22"/>
        </w:rPr>
        <w:t>2020</w:t>
      </w:r>
      <w:r w:rsidR="00C6550C" w:rsidRPr="00E772FC">
        <w:rPr>
          <w:sz w:val="22"/>
          <w:szCs w:val="22"/>
        </w:rPr>
        <w:t xml:space="preserve"> and </w:t>
      </w:r>
      <w:r w:rsidR="00C6550C" w:rsidRPr="003B2993">
        <w:rPr>
          <w:sz w:val="22"/>
          <w:szCs w:val="22"/>
        </w:rPr>
        <w:t xml:space="preserve">share of </w:t>
      </w:r>
      <w:r w:rsidR="004A557A">
        <w:rPr>
          <w:sz w:val="22"/>
          <w:szCs w:val="22"/>
        </w:rPr>
        <w:t>pro</w:t>
      </w:r>
      <w:r w:rsidR="004A557A" w:rsidRPr="004A557A">
        <w:rPr>
          <w:sz w:val="22"/>
          <w:szCs w:val="22"/>
        </w:rPr>
        <w:t>fit</w:t>
      </w:r>
      <w:r w:rsidR="004A557A">
        <w:rPr>
          <w:sz w:val="22"/>
          <w:szCs w:val="22"/>
        </w:rPr>
        <w:t xml:space="preserve"> </w:t>
      </w:r>
      <w:r w:rsidR="009B6663">
        <w:rPr>
          <w:sz w:val="22"/>
          <w:szCs w:val="22"/>
        </w:rPr>
        <w:t xml:space="preserve">of associates accounted for using equity method from these two associates for the year </w:t>
      </w:r>
      <w:r w:rsidR="009C282D">
        <w:rPr>
          <w:sz w:val="22"/>
          <w:szCs w:val="22"/>
        </w:rPr>
        <w:t>then</w:t>
      </w:r>
      <w:r w:rsidR="009B6663">
        <w:rPr>
          <w:sz w:val="22"/>
          <w:szCs w:val="22"/>
        </w:rPr>
        <w:t xml:space="preserve"> ended</w:t>
      </w:r>
      <w:r w:rsidR="00C6550C" w:rsidRPr="00E772FC">
        <w:rPr>
          <w:sz w:val="22"/>
          <w:szCs w:val="22"/>
        </w:rPr>
        <w:t xml:space="preserve"> </w:t>
      </w:r>
      <w:r w:rsidR="009B6663">
        <w:rPr>
          <w:sz w:val="22"/>
          <w:szCs w:val="22"/>
        </w:rPr>
        <w:t>and for the</w:t>
      </w:r>
      <w:r w:rsidR="009C282D">
        <w:rPr>
          <w:sz w:val="22"/>
          <w:szCs w:val="22"/>
        </w:rPr>
        <w:t xml:space="preserve"> </w:t>
      </w:r>
      <w:r w:rsidR="009B6663">
        <w:rPr>
          <w:sz w:val="22"/>
          <w:szCs w:val="22"/>
        </w:rPr>
        <w:t>three</w:t>
      </w:r>
      <w:r w:rsidR="003C3DF6">
        <w:rPr>
          <w:sz w:val="22"/>
          <w:szCs w:val="22"/>
        </w:rPr>
        <w:t>-month</w:t>
      </w:r>
      <w:r w:rsidR="00E14369">
        <w:rPr>
          <w:sz w:val="22"/>
          <w:szCs w:val="22"/>
        </w:rPr>
        <w:t xml:space="preserve"> and six</w:t>
      </w:r>
      <w:r w:rsidR="009B6663">
        <w:rPr>
          <w:sz w:val="22"/>
          <w:szCs w:val="22"/>
        </w:rPr>
        <w:t>-month period</w:t>
      </w:r>
      <w:r w:rsidR="003C3DF6">
        <w:rPr>
          <w:sz w:val="22"/>
          <w:szCs w:val="22"/>
        </w:rPr>
        <w:t>s</w:t>
      </w:r>
      <w:r w:rsidR="009B6663">
        <w:rPr>
          <w:sz w:val="22"/>
          <w:szCs w:val="22"/>
        </w:rPr>
        <w:t xml:space="preserve"> ended 30 </w:t>
      </w:r>
      <w:r w:rsidR="00E14369">
        <w:rPr>
          <w:sz w:val="22"/>
          <w:szCs w:val="22"/>
        </w:rPr>
        <w:t>September</w:t>
      </w:r>
      <w:r w:rsidR="009B6663">
        <w:rPr>
          <w:sz w:val="22"/>
          <w:szCs w:val="22"/>
        </w:rPr>
        <w:t xml:space="preserve"> 2019.</w:t>
      </w:r>
    </w:p>
    <w:p w14:paraId="64ADC8BC" w14:textId="77777777" w:rsidR="00E11D94" w:rsidRPr="00F26CD8" w:rsidRDefault="00E11D94" w:rsidP="00FF7F38">
      <w:pPr>
        <w:ind w:left="-540"/>
        <w:jc w:val="both"/>
        <w:rPr>
          <w:rFonts w:cstheme="minorBidi"/>
          <w:sz w:val="22"/>
          <w:szCs w:val="28"/>
          <w:cs/>
          <w:lang w:bidi="th-TH"/>
        </w:rPr>
      </w:pPr>
    </w:p>
    <w:p w14:paraId="2E725427" w14:textId="0C4B67CE" w:rsidR="00E11D94" w:rsidRDefault="00E11D94" w:rsidP="00FF7F38">
      <w:pPr>
        <w:ind w:left="-540"/>
        <w:jc w:val="both"/>
        <w:rPr>
          <w:sz w:val="22"/>
          <w:szCs w:val="22"/>
        </w:rPr>
      </w:pPr>
    </w:p>
    <w:p w14:paraId="71698B2B" w14:textId="790CD5D9" w:rsidR="002610FE" w:rsidRDefault="002610FE" w:rsidP="00FF7F38">
      <w:pPr>
        <w:ind w:left="-540"/>
        <w:jc w:val="both"/>
        <w:rPr>
          <w:sz w:val="22"/>
          <w:szCs w:val="22"/>
        </w:rPr>
      </w:pPr>
    </w:p>
    <w:p w14:paraId="7C74CEF4" w14:textId="77777777" w:rsidR="002610FE" w:rsidRPr="00337A46" w:rsidRDefault="002610FE" w:rsidP="00FF7F38">
      <w:pPr>
        <w:ind w:left="-540"/>
        <w:jc w:val="both"/>
        <w:rPr>
          <w:sz w:val="22"/>
          <w:szCs w:val="22"/>
        </w:rPr>
      </w:pPr>
    </w:p>
    <w:p w14:paraId="305173A6" w14:textId="77777777" w:rsidR="00C23B4D" w:rsidRPr="00337A46" w:rsidRDefault="00C23B4D" w:rsidP="00FF7F38">
      <w:pPr>
        <w:ind w:left="-540"/>
        <w:jc w:val="both"/>
        <w:rPr>
          <w:sz w:val="22"/>
        </w:rPr>
      </w:pPr>
    </w:p>
    <w:p w14:paraId="6EAACC37" w14:textId="5FDC6E42" w:rsidR="005B02CE" w:rsidRPr="00337A46" w:rsidRDefault="005B02CE" w:rsidP="00FF7F38">
      <w:pPr>
        <w:pStyle w:val="RNormal"/>
        <w:ind w:left="-540"/>
      </w:pPr>
      <w:r w:rsidRPr="00CD783D">
        <w:t>(</w:t>
      </w:r>
      <w:r w:rsidR="00337A46" w:rsidRPr="00CD783D">
        <w:t>Chanarat Chanwa</w:t>
      </w:r>
      <w:r w:rsidRPr="00CD783D">
        <w:t>)</w:t>
      </w:r>
    </w:p>
    <w:p w14:paraId="29695B3C" w14:textId="77777777" w:rsidR="005B02CE" w:rsidRPr="00337A46" w:rsidRDefault="005B02CE" w:rsidP="00FF7F38">
      <w:pPr>
        <w:pStyle w:val="RNormal"/>
        <w:ind w:left="-540"/>
      </w:pPr>
      <w:r w:rsidRPr="00337A46">
        <w:t>Certified Public Accountant</w:t>
      </w:r>
    </w:p>
    <w:p w14:paraId="49DDCD03" w14:textId="2D199ABC" w:rsidR="005B02CE" w:rsidRPr="00337A46" w:rsidRDefault="005B02CE" w:rsidP="00FF7F38">
      <w:pPr>
        <w:pStyle w:val="RNormal"/>
        <w:ind w:left="-540"/>
      </w:pPr>
      <w:r w:rsidRPr="00337A46">
        <w:t xml:space="preserve">Registration No. </w:t>
      </w:r>
      <w:r w:rsidR="003B54F7">
        <w:t>9052</w:t>
      </w:r>
    </w:p>
    <w:p w14:paraId="5D0EB91D" w14:textId="77777777" w:rsidR="005B02CE" w:rsidRPr="00337A46" w:rsidRDefault="005B02CE" w:rsidP="00FF7F38">
      <w:pPr>
        <w:pStyle w:val="RNormal"/>
        <w:ind w:left="-540"/>
      </w:pPr>
    </w:p>
    <w:p w14:paraId="18E08340" w14:textId="77777777" w:rsidR="005B02CE" w:rsidRPr="00337A46" w:rsidRDefault="005B02CE" w:rsidP="00FF7F38">
      <w:pPr>
        <w:pStyle w:val="RNormal"/>
        <w:ind w:left="-540"/>
      </w:pPr>
      <w:r w:rsidRPr="00337A46">
        <w:t xml:space="preserve">KPMG </w:t>
      </w:r>
      <w:proofErr w:type="spellStart"/>
      <w:r w:rsidRPr="00337A46">
        <w:t>Phoomchai</w:t>
      </w:r>
      <w:proofErr w:type="spellEnd"/>
      <w:r w:rsidRPr="00337A46">
        <w:t xml:space="preserve"> Audit Ltd.</w:t>
      </w:r>
    </w:p>
    <w:p w14:paraId="7817EF6F" w14:textId="77777777" w:rsidR="005B02CE" w:rsidRPr="00337A46" w:rsidRDefault="005B02CE" w:rsidP="00FF7F38">
      <w:pPr>
        <w:pStyle w:val="RNormal"/>
        <w:ind w:left="-540"/>
      </w:pPr>
      <w:r w:rsidRPr="00337A46">
        <w:t>Bangkok</w:t>
      </w:r>
    </w:p>
    <w:p w14:paraId="49497693" w14:textId="26F0AE9A" w:rsidR="001A7E82" w:rsidRPr="00337A46" w:rsidRDefault="00CD783D" w:rsidP="00FF7F38">
      <w:pPr>
        <w:pStyle w:val="RNormal"/>
        <w:ind w:left="-540"/>
        <w:rPr>
          <w:rFonts w:cstheme="minorBidi"/>
          <w:lang w:bidi="th-TH"/>
        </w:rPr>
      </w:pPr>
      <w:r w:rsidRPr="00CD783D">
        <w:t>1</w:t>
      </w:r>
      <w:r w:rsidR="00D7609E">
        <w:t>3</w:t>
      </w:r>
      <w:r w:rsidRPr="00CD783D">
        <w:t xml:space="preserve"> </w:t>
      </w:r>
      <w:r w:rsidR="00D7609E">
        <w:t>November</w:t>
      </w:r>
      <w:r w:rsidR="000D0816" w:rsidRPr="00CD783D">
        <w:t xml:space="preserve"> 20</w:t>
      </w:r>
      <w:r w:rsidRPr="00CD783D">
        <w:t>20</w:t>
      </w:r>
    </w:p>
    <w:sectPr w:rsidR="001A7E82" w:rsidRPr="00337A46" w:rsidSect="00FC73CD">
      <w:footerReference w:type="default" r:id="rId9"/>
      <w:pgSz w:w="11906" w:h="16838" w:code="9"/>
      <w:pgMar w:top="1440" w:right="1267" w:bottom="1267" w:left="1800" w:header="720" w:footer="834"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2CB8D" w14:textId="77777777" w:rsidR="000D7C32" w:rsidRDefault="000D7C32" w:rsidP="005B02CE">
      <w:r>
        <w:separator/>
      </w:r>
    </w:p>
  </w:endnote>
  <w:endnote w:type="continuationSeparator" w:id="0">
    <w:p w14:paraId="5B967BF6" w14:textId="77777777" w:rsidR="000D7C32" w:rsidRDefault="000D7C32" w:rsidP="005B0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E0587" w14:textId="236403BF" w:rsidR="00BC6075" w:rsidRDefault="00BC6075" w:rsidP="00B70C96">
    <w:pPr>
      <w:pStyle w:val="Footer"/>
      <w:tabs>
        <w:tab w:val="clear" w:pos="4680"/>
        <w:tab w:val="center" w:pos="4410"/>
      </w:tabs>
      <w:ind w:hanging="27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359697"/>
      <w:docPartObj>
        <w:docPartGallery w:val="Page Numbers (Bottom of Page)"/>
        <w:docPartUnique/>
      </w:docPartObj>
    </w:sdtPr>
    <w:sdtEndPr/>
    <w:sdtContent>
      <w:p w14:paraId="516ED2E6" w14:textId="77777777" w:rsidR="00B70C96" w:rsidRDefault="00B70C96" w:rsidP="00B70C96">
        <w:pPr>
          <w:pStyle w:val="Footer"/>
          <w:tabs>
            <w:tab w:val="clear" w:pos="4680"/>
            <w:tab w:val="center" w:pos="4410"/>
          </w:tabs>
          <w:ind w:hanging="270"/>
          <w:jc w:val="center"/>
        </w:pPr>
        <w:r w:rsidRPr="00363BEB">
          <w:rPr>
            <w:sz w:val="22"/>
          </w:rPr>
          <w:fldChar w:fldCharType="begin"/>
        </w:r>
        <w:r w:rsidRPr="00363BEB">
          <w:rPr>
            <w:sz w:val="22"/>
          </w:rPr>
          <w:instrText xml:space="preserve"> PAGE   \* MERGEFORMAT </w:instrText>
        </w:r>
        <w:r w:rsidRPr="00363BEB">
          <w:rPr>
            <w:sz w:val="22"/>
          </w:rPr>
          <w:fldChar w:fldCharType="separate"/>
        </w:r>
        <w:r w:rsidRPr="00363BEB">
          <w:rPr>
            <w:noProof/>
            <w:sz w:val="22"/>
          </w:rPr>
          <w:t>1</w:t>
        </w:r>
        <w:r w:rsidRPr="00363BEB">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17264" w14:textId="77777777" w:rsidR="000D7C32" w:rsidRDefault="000D7C32" w:rsidP="005B02CE">
      <w:r>
        <w:separator/>
      </w:r>
    </w:p>
  </w:footnote>
  <w:footnote w:type="continuationSeparator" w:id="0">
    <w:p w14:paraId="5928348C" w14:textId="77777777" w:rsidR="000D7C32" w:rsidRDefault="000D7C32" w:rsidP="005B0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126ABBE"/>
    <w:lvl w:ilvl="0">
      <w:start w:val="1"/>
      <w:numFmt w:val="decimal"/>
      <w:pStyle w:val="Heading1"/>
      <w:lvlText w:val="Example %1"/>
      <w:lvlJc w:val="left"/>
      <w:pPr>
        <w:tabs>
          <w:tab w:val="num" w:pos="1440"/>
        </w:tabs>
        <w:ind w:left="708" w:hanging="708"/>
      </w:pPr>
      <w:rPr>
        <w:rFonts w:hint="default"/>
        <w:b/>
        <w:i w:val="0"/>
        <w:sz w:val="28"/>
      </w:rPr>
    </w:lvl>
    <w:lvl w:ilvl="1">
      <w:start w:val="1"/>
      <w:numFmt w:val="decimal"/>
      <w:pStyle w:val="Heading2"/>
      <w:lvlText w:val="%1.%2"/>
      <w:lvlJc w:val="left"/>
      <w:pPr>
        <w:tabs>
          <w:tab w:val="num" w:pos="0"/>
        </w:tabs>
        <w:ind w:left="709" w:hanging="708"/>
      </w:pPr>
      <w:rPr>
        <w:rFonts w:hint="default"/>
      </w:rPr>
    </w:lvl>
    <w:lvl w:ilvl="2">
      <w:start w:val="1"/>
      <w:numFmt w:val="decimal"/>
      <w:pStyle w:val="Heading3"/>
      <w:lvlText w:val="%1.%2.%3"/>
      <w:lvlJc w:val="left"/>
      <w:pPr>
        <w:tabs>
          <w:tab w:val="num" w:pos="0"/>
        </w:tabs>
        <w:ind w:left="709" w:hanging="708"/>
      </w:pPr>
      <w:rPr>
        <w:rFonts w:hint="default"/>
      </w:rPr>
    </w:lvl>
    <w:lvl w:ilvl="3">
      <w:start w:val="1"/>
      <w:numFmt w:val="decimal"/>
      <w:pStyle w:val="Heading4"/>
      <w:lvlText w:val="%1.%2.%3.%4"/>
      <w:lvlJc w:val="left"/>
      <w:pPr>
        <w:tabs>
          <w:tab w:val="num" w:pos="0"/>
        </w:tabs>
        <w:ind w:left="709" w:hanging="708"/>
      </w:pPr>
      <w:rPr>
        <w:rFonts w:hint="default"/>
      </w:rPr>
    </w:lvl>
    <w:lvl w:ilvl="4">
      <w:start w:val="1"/>
      <w:numFmt w:val="decimal"/>
      <w:pStyle w:val="Heading5"/>
      <w:lvlText w:val="(%5)"/>
      <w:lvlJc w:val="left"/>
      <w:pPr>
        <w:tabs>
          <w:tab w:val="num" w:pos="0"/>
        </w:tabs>
        <w:ind w:left="3540" w:hanging="708"/>
      </w:pPr>
      <w:rPr>
        <w:rFonts w:hint="default"/>
      </w:rPr>
    </w:lvl>
    <w:lvl w:ilvl="5">
      <w:start w:val="1"/>
      <w:numFmt w:val="lowerLetter"/>
      <w:pStyle w:val="Heading6"/>
      <w:lvlText w:val="(%6)"/>
      <w:lvlJc w:val="left"/>
      <w:pPr>
        <w:tabs>
          <w:tab w:val="num" w:pos="0"/>
        </w:tabs>
        <w:ind w:left="4248" w:hanging="708"/>
      </w:pPr>
      <w:rPr>
        <w:rFonts w:hint="default"/>
      </w:rPr>
    </w:lvl>
    <w:lvl w:ilvl="6">
      <w:start w:val="1"/>
      <w:numFmt w:val="lowerRoman"/>
      <w:pStyle w:val="Heading7"/>
      <w:lvlText w:val="(%7)"/>
      <w:lvlJc w:val="left"/>
      <w:pPr>
        <w:tabs>
          <w:tab w:val="num" w:pos="0"/>
        </w:tabs>
        <w:ind w:left="4956" w:hanging="708"/>
      </w:pPr>
      <w:rPr>
        <w:rFonts w:hint="default"/>
      </w:rPr>
    </w:lvl>
    <w:lvl w:ilvl="7">
      <w:start w:val="1"/>
      <w:numFmt w:val="lowerLetter"/>
      <w:pStyle w:val="Heading8"/>
      <w:lvlText w:val="(%8)"/>
      <w:lvlJc w:val="left"/>
      <w:pPr>
        <w:tabs>
          <w:tab w:val="num" w:pos="0"/>
        </w:tabs>
        <w:ind w:left="5664" w:hanging="708"/>
      </w:pPr>
      <w:rPr>
        <w:rFonts w:hint="default"/>
      </w:rPr>
    </w:lvl>
    <w:lvl w:ilvl="8">
      <w:start w:val="1"/>
      <w:numFmt w:val="lowerRoman"/>
      <w:pStyle w:val="Heading9"/>
      <w:lvlText w:val="(%9)"/>
      <w:lvlJc w:val="left"/>
      <w:pPr>
        <w:tabs>
          <w:tab w:val="num" w:pos="0"/>
        </w:tabs>
        <w:ind w:left="6372" w:hanging="708"/>
      </w:pPr>
      <w:rPr>
        <w:rFonts w:hint="default"/>
      </w:rPr>
    </w:lvl>
  </w:abstractNum>
  <w:abstractNum w:abstractNumId="1" w15:restartNumberingAfterBreak="0">
    <w:nsid w:val="02A63B18"/>
    <w:multiLevelType w:val="hybridMultilevel"/>
    <w:tmpl w:val="73285B68"/>
    <w:lvl w:ilvl="0" w:tplc="B64E5E60">
      <w:start w:val="1"/>
      <w:numFmt w:val="decimal"/>
      <w:lvlText w:val="Example %1"/>
      <w:lvlJc w:val="left"/>
      <w:pPr>
        <w:tabs>
          <w:tab w:val="num" w:pos="1080"/>
        </w:tabs>
        <w:ind w:left="720" w:hanging="720"/>
      </w:pPr>
      <w:rPr>
        <w:rFonts w:hint="default"/>
        <w:b/>
        <w:i w:val="0"/>
        <w:sz w:val="22"/>
      </w:rPr>
    </w:lvl>
    <w:lvl w:ilvl="1" w:tplc="12129D92">
      <w:start w:val="1"/>
      <w:numFmt w:val="bullet"/>
      <w:pStyle w:val="Bullet"/>
      <w:lvlText w:val=""/>
      <w:lvlJc w:val="left"/>
      <w:pPr>
        <w:tabs>
          <w:tab w:val="num" w:pos="1440"/>
        </w:tabs>
        <w:ind w:left="1440" w:hanging="360"/>
      </w:pPr>
      <w:rPr>
        <w:rFonts w:ascii="Wingdings" w:hAnsi="Wingdings" w:hint="default"/>
        <w:sz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9033ABB"/>
    <w:multiLevelType w:val="hybridMultilevel"/>
    <w:tmpl w:val="AACCF712"/>
    <w:lvl w:ilvl="0" w:tplc="D656530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DF172A"/>
    <w:multiLevelType w:val="singleLevel"/>
    <w:tmpl w:val="415E1BC6"/>
    <w:lvl w:ilvl="0">
      <w:start w:val="1"/>
      <w:numFmt w:val="bullet"/>
      <w:lvlText w:val=""/>
      <w:lvlJc w:val="left"/>
      <w:pPr>
        <w:tabs>
          <w:tab w:val="num" w:pos="340"/>
        </w:tabs>
        <w:ind w:left="340" w:hanging="340"/>
      </w:pPr>
      <w:rPr>
        <w:rFonts w:ascii="Symbol" w:hAnsi="Symbol" w:hint="default"/>
        <w:color w:val="auto"/>
        <w:sz w:val="22"/>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2CE"/>
    <w:rsid w:val="000174E2"/>
    <w:rsid w:val="00036D3F"/>
    <w:rsid w:val="00045E97"/>
    <w:rsid w:val="00053C66"/>
    <w:rsid w:val="00072246"/>
    <w:rsid w:val="000748EA"/>
    <w:rsid w:val="00091C7F"/>
    <w:rsid w:val="0009597D"/>
    <w:rsid w:val="00097575"/>
    <w:rsid w:val="000A12E7"/>
    <w:rsid w:val="000B2612"/>
    <w:rsid w:val="000B48E5"/>
    <w:rsid w:val="000C11DA"/>
    <w:rsid w:val="000C5BA1"/>
    <w:rsid w:val="000D03F4"/>
    <w:rsid w:val="000D0816"/>
    <w:rsid w:val="000D7C32"/>
    <w:rsid w:val="000E0C1B"/>
    <w:rsid w:val="000E0F9F"/>
    <w:rsid w:val="000E4C71"/>
    <w:rsid w:val="00100F9E"/>
    <w:rsid w:val="00105A46"/>
    <w:rsid w:val="0010678A"/>
    <w:rsid w:val="0011061E"/>
    <w:rsid w:val="00112521"/>
    <w:rsid w:val="00125541"/>
    <w:rsid w:val="001454A8"/>
    <w:rsid w:val="001470C1"/>
    <w:rsid w:val="0015326F"/>
    <w:rsid w:val="00157995"/>
    <w:rsid w:val="00165F88"/>
    <w:rsid w:val="00186702"/>
    <w:rsid w:val="001A062A"/>
    <w:rsid w:val="001A100A"/>
    <w:rsid w:val="001A1523"/>
    <w:rsid w:val="001A3BD7"/>
    <w:rsid w:val="001A54AE"/>
    <w:rsid w:val="001A7E82"/>
    <w:rsid w:val="001B150F"/>
    <w:rsid w:val="001B62E3"/>
    <w:rsid w:val="001D0EFF"/>
    <w:rsid w:val="001E7BDE"/>
    <w:rsid w:val="001F29B0"/>
    <w:rsid w:val="002034B2"/>
    <w:rsid w:val="00211FB4"/>
    <w:rsid w:val="00234DC0"/>
    <w:rsid w:val="00242D8E"/>
    <w:rsid w:val="00244285"/>
    <w:rsid w:val="00256887"/>
    <w:rsid w:val="002610FE"/>
    <w:rsid w:val="00263166"/>
    <w:rsid w:val="00266F06"/>
    <w:rsid w:val="00273E0B"/>
    <w:rsid w:val="00282344"/>
    <w:rsid w:val="002A0B27"/>
    <w:rsid w:val="002A77C9"/>
    <w:rsid w:val="002B18BF"/>
    <w:rsid w:val="002D3DE1"/>
    <w:rsid w:val="002E158D"/>
    <w:rsid w:val="0031483A"/>
    <w:rsid w:val="00314C0F"/>
    <w:rsid w:val="00316954"/>
    <w:rsid w:val="003219F4"/>
    <w:rsid w:val="00325F53"/>
    <w:rsid w:val="00337A46"/>
    <w:rsid w:val="00341251"/>
    <w:rsid w:val="00342F02"/>
    <w:rsid w:val="0035494B"/>
    <w:rsid w:val="00355858"/>
    <w:rsid w:val="00360C20"/>
    <w:rsid w:val="00363BEB"/>
    <w:rsid w:val="00372398"/>
    <w:rsid w:val="00375165"/>
    <w:rsid w:val="00393262"/>
    <w:rsid w:val="00397E71"/>
    <w:rsid w:val="003B17AE"/>
    <w:rsid w:val="003B2993"/>
    <w:rsid w:val="003B54F7"/>
    <w:rsid w:val="003B6968"/>
    <w:rsid w:val="003C3DF6"/>
    <w:rsid w:val="003D0F13"/>
    <w:rsid w:val="003E195D"/>
    <w:rsid w:val="003E3E30"/>
    <w:rsid w:val="003E61DF"/>
    <w:rsid w:val="003E7F9F"/>
    <w:rsid w:val="003F4155"/>
    <w:rsid w:val="003F62C2"/>
    <w:rsid w:val="00401B7D"/>
    <w:rsid w:val="004255FA"/>
    <w:rsid w:val="00450B8A"/>
    <w:rsid w:val="004702C3"/>
    <w:rsid w:val="004725B5"/>
    <w:rsid w:val="00496F50"/>
    <w:rsid w:val="004A557A"/>
    <w:rsid w:val="004B2558"/>
    <w:rsid w:val="004B4479"/>
    <w:rsid w:val="004B6F2D"/>
    <w:rsid w:val="004C76E7"/>
    <w:rsid w:val="004E2286"/>
    <w:rsid w:val="004F1BDB"/>
    <w:rsid w:val="00500CD5"/>
    <w:rsid w:val="00501C2D"/>
    <w:rsid w:val="00512D8F"/>
    <w:rsid w:val="00514983"/>
    <w:rsid w:val="0053384E"/>
    <w:rsid w:val="00533FCA"/>
    <w:rsid w:val="0054037C"/>
    <w:rsid w:val="005506EF"/>
    <w:rsid w:val="005614F7"/>
    <w:rsid w:val="00571EBD"/>
    <w:rsid w:val="00574948"/>
    <w:rsid w:val="005B02CE"/>
    <w:rsid w:val="005B032F"/>
    <w:rsid w:val="005B2790"/>
    <w:rsid w:val="005B3C89"/>
    <w:rsid w:val="005D5F77"/>
    <w:rsid w:val="006117BB"/>
    <w:rsid w:val="006127FD"/>
    <w:rsid w:val="00624120"/>
    <w:rsid w:val="00625010"/>
    <w:rsid w:val="00634D0D"/>
    <w:rsid w:val="006419AD"/>
    <w:rsid w:val="006547D8"/>
    <w:rsid w:val="00654C31"/>
    <w:rsid w:val="006A19EF"/>
    <w:rsid w:val="006D2C09"/>
    <w:rsid w:val="006E4EE2"/>
    <w:rsid w:val="006F43DD"/>
    <w:rsid w:val="00700A4D"/>
    <w:rsid w:val="007033CA"/>
    <w:rsid w:val="00714980"/>
    <w:rsid w:val="00725BCE"/>
    <w:rsid w:val="00732025"/>
    <w:rsid w:val="0073633C"/>
    <w:rsid w:val="007412C5"/>
    <w:rsid w:val="007500DC"/>
    <w:rsid w:val="00762A7D"/>
    <w:rsid w:val="00772B63"/>
    <w:rsid w:val="007904C4"/>
    <w:rsid w:val="00791070"/>
    <w:rsid w:val="00792859"/>
    <w:rsid w:val="007A1BE7"/>
    <w:rsid w:val="007A25D2"/>
    <w:rsid w:val="007D129E"/>
    <w:rsid w:val="007D2BF8"/>
    <w:rsid w:val="007D68A9"/>
    <w:rsid w:val="007E2F02"/>
    <w:rsid w:val="007F4E33"/>
    <w:rsid w:val="007F6B09"/>
    <w:rsid w:val="00805E61"/>
    <w:rsid w:val="00823C54"/>
    <w:rsid w:val="00840F71"/>
    <w:rsid w:val="0084786B"/>
    <w:rsid w:val="00852B4E"/>
    <w:rsid w:val="008626B0"/>
    <w:rsid w:val="00877A7B"/>
    <w:rsid w:val="008A0F8A"/>
    <w:rsid w:val="008B3D1A"/>
    <w:rsid w:val="008C576F"/>
    <w:rsid w:val="008C6958"/>
    <w:rsid w:val="008E1838"/>
    <w:rsid w:val="008E328A"/>
    <w:rsid w:val="008E3430"/>
    <w:rsid w:val="008F04FE"/>
    <w:rsid w:val="0093564E"/>
    <w:rsid w:val="0097259E"/>
    <w:rsid w:val="00994328"/>
    <w:rsid w:val="00996279"/>
    <w:rsid w:val="009B6663"/>
    <w:rsid w:val="009C0269"/>
    <w:rsid w:val="009C282D"/>
    <w:rsid w:val="009E252E"/>
    <w:rsid w:val="00A012AD"/>
    <w:rsid w:val="00A037F0"/>
    <w:rsid w:val="00A03910"/>
    <w:rsid w:val="00A05F3D"/>
    <w:rsid w:val="00A14145"/>
    <w:rsid w:val="00A24D2B"/>
    <w:rsid w:val="00A354DA"/>
    <w:rsid w:val="00A40DDF"/>
    <w:rsid w:val="00A450A0"/>
    <w:rsid w:val="00A55072"/>
    <w:rsid w:val="00A55795"/>
    <w:rsid w:val="00A5631F"/>
    <w:rsid w:val="00A63E38"/>
    <w:rsid w:val="00A7608B"/>
    <w:rsid w:val="00A815E8"/>
    <w:rsid w:val="00A81E87"/>
    <w:rsid w:val="00A95B89"/>
    <w:rsid w:val="00A9684F"/>
    <w:rsid w:val="00AA246D"/>
    <w:rsid w:val="00AA272F"/>
    <w:rsid w:val="00AA7B63"/>
    <w:rsid w:val="00AB6FC9"/>
    <w:rsid w:val="00AC5F9E"/>
    <w:rsid w:val="00AE0519"/>
    <w:rsid w:val="00AE3285"/>
    <w:rsid w:val="00AF25F1"/>
    <w:rsid w:val="00AF4741"/>
    <w:rsid w:val="00B01AD7"/>
    <w:rsid w:val="00B137F4"/>
    <w:rsid w:val="00B153F5"/>
    <w:rsid w:val="00B32333"/>
    <w:rsid w:val="00B465CC"/>
    <w:rsid w:val="00B70C96"/>
    <w:rsid w:val="00B7643A"/>
    <w:rsid w:val="00B8202E"/>
    <w:rsid w:val="00B83A3D"/>
    <w:rsid w:val="00B908DB"/>
    <w:rsid w:val="00B9249F"/>
    <w:rsid w:val="00B94EE5"/>
    <w:rsid w:val="00BA1C7A"/>
    <w:rsid w:val="00BC6075"/>
    <w:rsid w:val="00BC7078"/>
    <w:rsid w:val="00BD464D"/>
    <w:rsid w:val="00C03CB7"/>
    <w:rsid w:val="00C0691E"/>
    <w:rsid w:val="00C07660"/>
    <w:rsid w:val="00C115B9"/>
    <w:rsid w:val="00C14E52"/>
    <w:rsid w:val="00C159CA"/>
    <w:rsid w:val="00C20487"/>
    <w:rsid w:val="00C20527"/>
    <w:rsid w:val="00C23B4D"/>
    <w:rsid w:val="00C417E0"/>
    <w:rsid w:val="00C470C1"/>
    <w:rsid w:val="00C4786C"/>
    <w:rsid w:val="00C6087F"/>
    <w:rsid w:val="00C64FB0"/>
    <w:rsid w:val="00C6550C"/>
    <w:rsid w:val="00C70901"/>
    <w:rsid w:val="00C739A7"/>
    <w:rsid w:val="00C7615A"/>
    <w:rsid w:val="00C766A1"/>
    <w:rsid w:val="00C8315F"/>
    <w:rsid w:val="00C8652F"/>
    <w:rsid w:val="00C9640F"/>
    <w:rsid w:val="00CA49B7"/>
    <w:rsid w:val="00CB1C40"/>
    <w:rsid w:val="00CC262E"/>
    <w:rsid w:val="00CD1A8F"/>
    <w:rsid w:val="00CD1C0B"/>
    <w:rsid w:val="00CD783D"/>
    <w:rsid w:val="00CE5C5C"/>
    <w:rsid w:val="00D078D2"/>
    <w:rsid w:val="00D21095"/>
    <w:rsid w:val="00D41A3D"/>
    <w:rsid w:val="00D436B8"/>
    <w:rsid w:val="00D45BDE"/>
    <w:rsid w:val="00D47847"/>
    <w:rsid w:val="00D6027D"/>
    <w:rsid w:val="00D7464E"/>
    <w:rsid w:val="00D7609E"/>
    <w:rsid w:val="00D8561A"/>
    <w:rsid w:val="00D86BAF"/>
    <w:rsid w:val="00D945DE"/>
    <w:rsid w:val="00DA2935"/>
    <w:rsid w:val="00DA2CA3"/>
    <w:rsid w:val="00DB028B"/>
    <w:rsid w:val="00DC68C1"/>
    <w:rsid w:val="00DD2F0A"/>
    <w:rsid w:val="00DE5796"/>
    <w:rsid w:val="00DE7584"/>
    <w:rsid w:val="00DF117F"/>
    <w:rsid w:val="00DF2788"/>
    <w:rsid w:val="00DF6A0D"/>
    <w:rsid w:val="00DF76E5"/>
    <w:rsid w:val="00E11D94"/>
    <w:rsid w:val="00E14369"/>
    <w:rsid w:val="00E2229A"/>
    <w:rsid w:val="00E3116B"/>
    <w:rsid w:val="00E33256"/>
    <w:rsid w:val="00E403A1"/>
    <w:rsid w:val="00E44437"/>
    <w:rsid w:val="00E45F24"/>
    <w:rsid w:val="00E53538"/>
    <w:rsid w:val="00E53F19"/>
    <w:rsid w:val="00E56FFE"/>
    <w:rsid w:val="00E63CBE"/>
    <w:rsid w:val="00E772FC"/>
    <w:rsid w:val="00E86B78"/>
    <w:rsid w:val="00E91EB4"/>
    <w:rsid w:val="00E978B7"/>
    <w:rsid w:val="00EA42D5"/>
    <w:rsid w:val="00EB70FB"/>
    <w:rsid w:val="00EC26E7"/>
    <w:rsid w:val="00ED09B4"/>
    <w:rsid w:val="00F14781"/>
    <w:rsid w:val="00F230F4"/>
    <w:rsid w:val="00F23E84"/>
    <w:rsid w:val="00F2699A"/>
    <w:rsid w:val="00F26CD8"/>
    <w:rsid w:val="00F56874"/>
    <w:rsid w:val="00F60D1E"/>
    <w:rsid w:val="00F60FCE"/>
    <w:rsid w:val="00F718C1"/>
    <w:rsid w:val="00F729BC"/>
    <w:rsid w:val="00F77427"/>
    <w:rsid w:val="00F80C3F"/>
    <w:rsid w:val="00F81424"/>
    <w:rsid w:val="00F967DB"/>
    <w:rsid w:val="00FA21A0"/>
    <w:rsid w:val="00FA4980"/>
    <w:rsid w:val="00FC41AD"/>
    <w:rsid w:val="00FC73CD"/>
    <w:rsid w:val="00FD131E"/>
    <w:rsid w:val="00FD1720"/>
    <w:rsid w:val="00FD6B71"/>
    <w:rsid w:val="00FE689B"/>
    <w:rsid w:val="00FF14E6"/>
    <w:rsid w:val="00FF3229"/>
    <w:rsid w:val="00FF36A2"/>
    <w:rsid w:val="00FF7F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9A111"/>
  <w15:docId w15:val="{79598107-32A0-45ED-8AD7-A55D54A8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2C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Heading2"/>
    <w:link w:val="Heading1Char"/>
    <w:qFormat/>
    <w:rsid w:val="005B02CE"/>
    <w:pPr>
      <w:numPr>
        <w:numId w:val="1"/>
      </w:numPr>
      <w:tabs>
        <w:tab w:val="left" w:pos="1531"/>
      </w:tabs>
      <w:overflowPunct w:val="0"/>
      <w:autoSpaceDE w:val="0"/>
      <w:autoSpaceDN w:val="0"/>
      <w:adjustRightInd w:val="0"/>
      <w:ind w:left="1531" w:hanging="1531"/>
      <w:jc w:val="both"/>
      <w:textAlignment w:val="baseline"/>
      <w:outlineLvl w:val="0"/>
    </w:pPr>
    <w:rPr>
      <w:b/>
      <w:sz w:val="28"/>
      <w:szCs w:val="20"/>
      <w:lang w:val="en-GB"/>
    </w:rPr>
  </w:style>
  <w:style w:type="paragraph" w:styleId="Heading2">
    <w:name w:val="heading 2"/>
    <w:basedOn w:val="Normal"/>
    <w:link w:val="Heading2Char"/>
    <w:qFormat/>
    <w:rsid w:val="005B02CE"/>
    <w:pPr>
      <w:numPr>
        <w:ilvl w:val="1"/>
        <w:numId w:val="1"/>
      </w:numPr>
      <w:overflowPunct w:val="0"/>
      <w:autoSpaceDE w:val="0"/>
      <w:autoSpaceDN w:val="0"/>
      <w:adjustRightInd w:val="0"/>
      <w:spacing w:after="260" w:line="260" w:lineRule="exact"/>
      <w:jc w:val="both"/>
      <w:textAlignment w:val="baseline"/>
      <w:outlineLvl w:val="1"/>
    </w:pPr>
    <w:rPr>
      <w:sz w:val="22"/>
      <w:szCs w:val="20"/>
      <w:lang w:val="en-GB"/>
    </w:rPr>
  </w:style>
  <w:style w:type="paragraph" w:styleId="Heading3">
    <w:name w:val="heading 3"/>
    <w:basedOn w:val="Normal"/>
    <w:next w:val="Normal"/>
    <w:link w:val="Heading3Char"/>
    <w:qFormat/>
    <w:rsid w:val="005B02CE"/>
    <w:pPr>
      <w:numPr>
        <w:ilvl w:val="2"/>
        <w:numId w:val="1"/>
      </w:numPr>
      <w:overflowPunct w:val="0"/>
      <w:autoSpaceDE w:val="0"/>
      <w:autoSpaceDN w:val="0"/>
      <w:adjustRightInd w:val="0"/>
      <w:spacing w:after="260" w:line="260" w:lineRule="exact"/>
      <w:jc w:val="both"/>
      <w:textAlignment w:val="baseline"/>
      <w:outlineLvl w:val="2"/>
    </w:pPr>
    <w:rPr>
      <w:position w:val="-4"/>
      <w:sz w:val="22"/>
      <w:szCs w:val="20"/>
      <w:lang w:val="en-GB"/>
    </w:rPr>
  </w:style>
  <w:style w:type="paragraph" w:styleId="Heading4">
    <w:name w:val="heading 4"/>
    <w:basedOn w:val="Normal"/>
    <w:next w:val="Normal"/>
    <w:link w:val="Heading4Char"/>
    <w:qFormat/>
    <w:rsid w:val="005B02CE"/>
    <w:pPr>
      <w:keepNext/>
      <w:numPr>
        <w:ilvl w:val="3"/>
        <w:numId w:val="1"/>
      </w:numPr>
      <w:overflowPunct w:val="0"/>
      <w:autoSpaceDE w:val="0"/>
      <w:autoSpaceDN w:val="0"/>
      <w:adjustRightInd w:val="0"/>
      <w:spacing w:after="260" w:line="260" w:lineRule="exact"/>
      <w:jc w:val="both"/>
      <w:textAlignment w:val="baseline"/>
      <w:outlineLvl w:val="3"/>
    </w:pPr>
    <w:rPr>
      <w:sz w:val="22"/>
      <w:szCs w:val="20"/>
      <w:lang w:val="en-GB"/>
    </w:rPr>
  </w:style>
  <w:style w:type="paragraph" w:styleId="Heading5">
    <w:name w:val="heading 5"/>
    <w:basedOn w:val="Normal"/>
    <w:next w:val="Normal"/>
    <w:link w:val="Heading5Char"/>
    <w:qFormat/>
    <w:rsid w:val="005B02CE"/>
    <w:pPr>
      <w:numPr>
        <w:ilvl w:val="4"/>
        <w:numId w:val="1"/>
      </w:numPr>
      <w:overflowPunct w:val="0"/>
      <w:autoSpaceDE w:val="0"/>
      <w:autoSpaceDN w:val="0"/>
      <w:adjustRightInd w:val="0"/>
      <w:spacing w:before="240" w:after="60"/>
      <w:jc w:val="both"/>
      <w:textAlignment w:val="baseline"/>
      <w:outlineLvl w:val="4"/>
    </w:pPr>
    <w:rPr>
      <w:rFonts w:ascii="Arial" w:hAnsi="Arial"/>
      <w:sz w:val="22"/>
      <w:szCs w:val="20"/>
      <w:lang w:val="en-GB"/>
    </w:rPr>
  </w:style>
  <w:style w:type="paragraph" w:styleId="Heading6">
    <w:name w:val="heading 6"/>
    <w:basedOn w:val="Normal"/>
    <w:next w:val="Normal"/>
    <w:link w:val="Heading6Char"/>
    <w:qFormat/>
    <w:rsid w:val="005B02CE"/>
    <w:pPr>
      <w:numPr>
        <w:ilvl w:val="5"/>
        <w:numId w:val="1"/>
      </w:numPr>
      <w:overflowPunct w:val="0"/>
      <w:autoSpaceDE w:val="0"/>
      <w:autoSpaceDN w:val="0"/>
      <w:adjustRightInd w:val="0"/>
      <w:spacing w:before="240" w:after="60"/>
      <w:jc w:val="both"/>
      <w:textAlignment w:val="baseline"/>
      <w:outlineLvl w:val="5"/>
    </w:pPr>
    <w:rPr>
      <w:rFonts w:ascii="Arial" w:hAnsi="Arial"/>
      <w:i/>
      <w:sz w:val="22"/>
      <w:szCs w:val="20"/>
      <w:lang w:val="en-GB"/>
    </w:rPr>
  </w:style>
  <w:style w:type="paragraph" w:styleId="Heading7">
    <w:name w:val="heading 7"/>
    <w:basedOn w:val="Normal"/>
    <w:next w:val="Normal"/>
    <w:link w:val="Heading7Char"/>
    <w:qFormat/>
    <w:rsid w:val="005B02CE"/>
    <w:pPr>
      <w:numPr>
        <w:ilvl w:val="6"/>
        <w:numId w:val="1"/>
      </w:numPr>
      <w:overflowPunct w:val="0"/>
      <w:autoSpaceDE w:val="0"/>
      <w:autoSpaceDN w:val="0"/>
      <w:adjustRightInd w:val="0"/>
      <w:spacing w:before="240" w:after="60"/>
      <w:jc w:val="both"/>
      <w:textAlignment w:val="baseline"/>
      <w:outlineLvl w:val="6"/>
    </w:pPr>
    <w:rPr>
      <w:rFonts w:ascii="Arial" w:hAnsi="Arial"/>
      <w:sz w:val="20"/>
      <w:szCs w:val="20"/>
      <w:lang w:val="en-GB"/>
    </w:rPr>
  </w:style>
  <w:style w:type="paragraph" w:styleId="Heading8">
    <w:name w:val="heading 8"/>
    <w:basedOn w:val="Normal"/>
    <w:next w:val="Normal"/>
    <w:link w:val="Heading8Char"/>
    <w:qFormat/>
    <w:rsid w:val="005B02CE"/>
    <w:pPr>
      <w:numPr>
        <w:ilvl w:val="7"/>
        <w:numId w:val="1"/>
      </w:numPr>
      <w:overflowPunct w:val="0"/>
      <w:autoSpaceDE w:val="0"/>
      <w:autoSpaceDN w:val="0"/>
      <w:adjustRightInd w:val="0"/>
      <w:spacing w:before="240" w:after="60"/>
      <w:jc w:val="both"/>
      <w:textAlignment w:val="baseline"/>
      <w:outlineLvl w:val="7"/>
    </w:pPr>
    <w:rPr>
      <w:rFonts w:ascii="Arial" w:hAnsi="Arial"/>
      <w:i/>
      <w:sz w:val="20"/>
      <w:szCs w:val="20"/>
      <w:lang w:val="en-GB"/>
    </w:rPr>
  </w:style>
  <w:style w:type="paragraph" w:styleId="Heading9">
    <w:name w:val="heading 9"/>
    <w:basedOn w:val="Normal"/>
    <w:next w:val="Normal"/>
    <w:link w:val="Heading9Char"/>
    <w:qFormat/>
    <w:rsid w:val="005B02CE"/>
    <w:pPr>
      <w:numPr>
        <w:ilvl w:val="8"/>
        <w:numId w:val="1"/>
      </w:numPr>
      <w:overflowPunct w:val="0"/>
      <w:autoSpaceDE w:val="0"/>
      <w:autoSpaceDN w:val="0"/>
      <w:adjustRightInd w:val="0"/>
      <w:spacing w:before="240" w:after="60"/>
      <w:jc w:val="both"/>
      <w:textAlignment w:val="baseline"/>
      <w:outlineLvl w:val="8"/>
    </w:pPr>
    <w:rPr>
      <w:rFonts w:ascii="Arial" w:hAnsi="Arial"/>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2CE"/>
    <w:rPr>
      <w:rFonts w:ascii="Times New Roman" w:eastAsia="Times New Roman" w:hAnsi="Times New Roman" w:cs="Times New Roman"/>
      <w:b/>
      <w:sz w:val="28"/>
      <w:szCs w:val="20"/>
      <w:lang w:val="en-GB" w:bidi="ar-SA"/>
    </w:rPr>
  </w:style>
  <w:style w:type="character" w:customStyle="1" w:styleId="Heading2Char">
    <w:name w:val="Heading 2 Char"/>
    <w:basedOn w:val="DefaultParagraphFont"/>
    <w:link w:val="Heading2"/>
    <w:rsid w:val="005B02CE"/>
    <w:rPr>
      <w:rFonts w:ascii="Times New Roman" w:eastAsia="Times New Roman" w:hAnsi="Times New Roman" w:cs="Times New Roman"/>
      <w:szCs w:val="20"/>
      <w:lang w:val="en-GB" w:bidi="ar-SA"/>
    </w:rPr>
  </w:style>
  <w:style w:type="character" w:customStyle="1" w:styleId="Heading3Char">
    <w:name w:val="Heading 3 Char"/>
    <w:basedOn w:val="DefaultParagraphFont"/>
    <w:link w:val="Heading3"/>
    <w:rsid w:val="005B02CE"/>
    <w:rPr>
      <w:rFonts w:ascii="Times New Roman" w:eastAsia="Times New Roman" w:hAnsi="Times New Roman" w:cs="Times New Roman"/>
      <w:position w:val="-4"/>
      <w:szCs w:val="20"/>
      <w:lang w:val="en-GB" w:bidi="ar-SA"/>
    </w:rPr>
  </w:style>
  <w:style w:type="character" w:customStyle="1" w:styleId="Heading4Char">
    <w:name w:val="Heading 4 Char"/>
    <w:basedOn w:val="DefaultParagraphFont"/>
    <w:link w:val="Heading4"/>
    <w:rsid w:val="005B02CE"/>
    <w:rPr>
      <w:rFonts w:ascii="Times New Roman" w:eastAsia="Times New Roman" w:hAnsi="Times New Roman" w:cs="Times New Roman"/>
      <w:szCs w:val="20"/>
      <w:lang w:val="en-GB" w:bidi="ar-SA"/>
    </w:rPr>
  </w:style>
  <w:style w:type="character" w:customStyle="1" w:styleId="Heading5Char">
    <w:name w:val="Heading 5 Char"/>
    <w:basedOn w:val="DefaultParagraphFont"/>
    <w:link w:val="Heading5"/>
    <w:rsid w:val="005B02CE"/>
    <w:rPr>
      <w:rFonts w:ascii="Arial" w:eastAsia="Times New Roman" w:hAnsi="Arial" w:cs="Times New Roman"/>
      <w:szCs w:val="20"/>
      <w:lang w:val="en-GB" w:bidi="ar-SA"/>
    </w:rPr>
  </w:style>
  <w:style w:type="character" w:customStyle="1" w:styleId="Heading6Char">
    <w:name w:val="Heading 6 Char"/>
    <w:basedOn w:val="DefaultParagraphFont"/>
    <w:link w:val="Heading6"/>
    <w:rsid w:val="005B02CE"/>
    <w:rPr>
      <w:rFonts w:ascii="Arial" w:eastAsia="Times New Roman" w:hAnsi="Arial" w:cs="Times New Roman"/>
      <w:i/>
      <w:szCs w:val="20"/>
      <w:lang w:val="en-GB" w:bidi="ar-SA"/>
    </w:rPr>
  </w:style>
  <w:style w:type="character" w:customStyle="1" w:styleId="Heading7Char">
    <w:name w:val="Heading 7 Char"/>
    <w:basedOn w:val="DefaultParagraphFont"/>
    <w:link w:val="Heading7"/>
    <w:rsid w:val="005B02CE"/>
    <w:rPr>
      <w:rFonts w:ascii="Arial" w:eastAsia="Times New Roman" w:hAnsi="Arial" w:cs="Times New Roman"/>
      <w:sz w:val="20"/>
      <w:szCs w:val="20"/>
      <w:lang w:val="en-GB" w:bidi="ar-SA"/>
    </w:rPr>
  </w:style>
  <w:style w:type="character" w:customStyle="1" w:styleId="Heading8Char">
    <w:name w:val="Heading 8 Char"/>
    <w:basedOn w:val="DefaultParagraphFont"/>
    <w:link w:val="Heading8"/>
    <w:rsid w:val="005B02CE"/>
    <w:rPr>
      <w:rFonts w:ascii="Arial" w:eastAsia="Times New Roman" w:hAnsi="Arial" w:cs="Times New Roman"/>
      <w:i/>
      <w:sz w:val="20"/>
      <w:szCs w:val="20"/>
      <w:lang w:val="en-GB" w:bidi="ar-SA"/>
    </w:rPr>
  </w:style>
  <w:style w:type="character" w:customStyle="1" w:styleId="Heading9Char">
    <w:name w:val="Heading 9 Char"/>
    <w:basedOn w:val="DefaultParagraphFont"/>
    <w:link w:val="Heading9"/>
    <w:rsid w:val="005B02CE"/>
    <w:rPr>
      <w:rFonts w:ascii="Arial" w:eastAsia="Times New Roman" w:hAnsi="Arial" w:cs="Times New Roman"/>
      <w:i/>
      <w:sz w:val="18"/>
      <w:szCs w:val="20"/>
      <w:lang w:val="en-GB" w:bidi="ar-SA"/>
    </w:rPr>
  </w:style>
  <w:style w:type="paragraph" w:customStyle="1" w:styleId="Bullet">
    <w:name w:val="Bullet"/>
    <w:basedOn w:val="Normal"/>
    <w:rsid w:val="005B02CE"/>
    <w:pPr>
      <w:numPr>
        <w:ilvl w:val="1"/>
        <w:numId w:val="2"/>
      </w:numPr>
    </w:pPr>
  </w:style>
  <w:style w:type="paragraph" w:customStyle="1" w:styleId="RNormal">
    <w:name w:val="RNormal"/>
    <w:basedOn w:val="Normal"/>
    <w:rsid w:val="005B02CE"/>
    <w:pPr>
      <w:jc w:val="both"/>
    </w:pPr>
    <w:rPr>
      <w:sz w:val="22"/>
    </w:rPr>
  </w:style>
  <w:style w:type="paragraph" w:styleId="Header">
    <w:name w:val="header"/>
    <w:basedOn w:val="Normal"/>
    <w:link w:val="HeaderChar"/>
    <w:rsid w:val="005B02CE"/>
    <w:pPr>
      <w:tabs>
        <w:tab w:val="center" w:pos="4320"/>
        <w:tab w:val="right" w:pos="8640"/>
      </w:tabs>
    </w:pPr>
  </w:style>
  <w:style w:type="character" w:customStyle="1" w:styleId="HeaderChar">
    <w:name w:val="Header Char"/>
    <w:basedOn w:val="DefaultParagraphFont"/>
    <w:link w:val="Header"/>
    <w:rsid w:val="005B02CE"/>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5B02CE"/>
    <w:pPr>
      <w:tabs>
        <w:tab w:val="center" w:pos="4680"/>
        <w:tab w:val="right" w:pos="9360"/>
      </w:tabs>
    </w:pPr>
  </w:style>
  <w:style w:type="character" w:customStyle="1" w:styleId="FooterChar">
    <w:name w:val="Footer Char"/>
    <w:basedOn w:val="DefaultParagraphFont"/>
    <w:link w:val="Footer"/>
    <w:uiPriority w:val="99"/>
    <w:rsid w:val="005B02CE"/>
    <w:rPr>
      <w:rFonts w:ascii="Times New Roman" w:eastAsia="Times New Roman" w:hAnsi="Times New Roman" w:cs="Times New Roman"/>
      <w:sz w:val="24"/>
      <w:szCs w:val="24"/>
      <w:lang w:bidi="ar-SA"/>
    </w:rPr>
  </w:style>
  <w:style w:type="table" w:styleId="TableGrid">
    <w:name w:val="Table Grid"/>
    <w:basedOn w:val="TableNormal"/>
    <w:uiPriority w:val="59"/>
    <w:rsid w:val="005B02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02CE"/>
    <w:pPr>
      <w:spacing w:after="200" w:line="276" w:lineRule="auto"/>
      <w:ind w:left="720"/>
      <w:contextualSpacing/>
    </w:pPr>
    <w:rPr>
      <w:rFonts w:asciiTheme="minorHAnsi" w:eastAsiaTheme="minorHAnsi" w:hAnsiTheme="minorHAnsi" w:cstheme="minorBidi"/>
      <w:sz w:val="22"/>
      <w:szCs w:val="28"/>
      <w:lang w:bidi="th-TH"/>
    </w:rPr>
  </w:style>
  <w:style w:type="character" w:styleId="Hyperlink">
    <w:name w:val="Hyperlink"/>
    <w:basedOn w:val="DefaultParagraphFont"/>
    <w:rsid w:val="00F2699A"/>
    <w:rPr>
      <w:color w:val="0000FF"/>
      <w:u w:val="single"/>
    </w:rPr>
  </w:style>
  <w:style w:type="character" w:styleId="FollowedHyperlink">
    <w:name w:val="FollowedHyperlink"/>
    <w:basedOn w:val="DefaultParagraphFont"/>
    <w:uiPriority w:val="99"/>
    <w:semiHidden/>
    <w:unhideWhenUsed/>
    <w:rsid w:val="009E252E"/>
    <w:rPr>
      <w:color w:val="800080" w:themeColor="followedHyperlink"/>
      <w:u w:val="single"/>
    </w:rPr>
  </w:style>
  <w:style w:type="paragraph" w:styleId="FootnoteText">
    <w:name w:val="footnote text"/>
    <w:basedOn w:val="Normal"/>
    <w:link w:val="FootnoteTextChar"/>
    <w:uiPriority w:val="99"/>
    <w:semiHidden/>
    <w:unhideWhenUsed/>
    <w:rsid w:val="00574948"/>
    <w:rPr>
      <w:sz w:val="20"/>
      <w:szCs w:val="20"/>
    </w:rPr>
  </w:style>
  <w:style w:type="character" w:customStyle="1" w:styleId="FootnoteTextChar">
    <w:name w:val="Footnote Text Char"/>
    <w:basedOn w:val="DefaultParagraphFont"/>
    <w:link w:val="FootnoteText"/>
    <w:uiPriority w:val="99"/>
    <w:semiHidden/>
    <w:rsid w:val="00574948"/>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574948"/>
    <w:rPr>
      <w:vertAlign w:val="superscript"/>
    </w:rPr>
  </w:style>
  <w:style w:type="paragraph" w:styleId="BalloonText">
    <w:name w:val="Balloon Text"/>
    <w:basedOn w:val="Normal"/>
    <w:link w:val="BalloonTextChar"/>
    <w:uiPriority w:val="99"/>
    <w:semiHidden/>
    <w:unhideWhenUsed/>
    <w:rsid w:val="001E7BDE"/>
    <w:rPr>
      <w:rFonts w:ascii="Tahoma" w:hAnsi="Tahoma" w:cs="Tahoma"/>
      <w:sz w:val="16"/>
      <w:szCs w:val="16"/>
    </w:rPr>
  </w:style>
  <w:style w:type="character" w:customStyle="1" w:styleId="BalloonTextChar">
    <w:name w:val="Balloon Text Char"/>
    <w:basedOn w:val="DefaultParagraphFont"/>
    <w:link w:val="BalloonText"/>
    <w:uiPriority w:val="99"/>
    <w:semiHidden/>
    <w:rsid w:val="001E7BDE"/>
    <w:rPr>
      <w:rFonts w:ascii="Tahoma" w:eastAsia="Times New Roman" w:hAnsi="Tahoma" w:cs="Tahoma"/>
      <w:sz w:val="16"/>
      <w:szCs w:val="16"/>
      <w:lang w:bidi="ar-SA"/>
    </w:rPr>
  </w:style>
  <w:style w:type="character" w:styleId="CommentReference">
    <w:name w:val="annotation reference"/>
    <w:basedOn w:val="DefaultParagraphFont"/>
    <w:uiPriority w:val="99"/>
    <w:semiHidden/>
    <w:unhideWhenUsed/>
    <w:rsid w:val="002B18BF"/>
    <w:rPr>
      <w:sz w:val="16"/>
      <w:szCs w:val="16"/>
    </w:rPr>
  </w:style>
  <w:style w:type="paragraph" w:styleId="CommentText">
    <w:name w:val="annotation text"/>
    <w:basedOn w:val="Normal"/>
    <w:link w:val="CommentTextChar"/>
    <w:uiPriority w:val="99"/>
    <w:semiHidden/>
    <w:unhideWhenUsed/>
    <w:rsid w:val="002B18BF"/>
    <w:rPr>
      <w:sz w:val="20"/>
      <w:szCs w:val="20"/>
    </w:rPr>
  </w:style>
  <w:style w:type="character" w:customStyle="1" w:styleId="CommentTextChar">
    <w:name w:val="Comment Text Char"/>
    <w:basedOn w:val="DefaultParagraphFont"/>
    <w:link w:val="CommentText"/>
    <w:uiPriority w:val="99"/>
    <w:semiHidden/>
    <w:rsid w:val="002B18BF"/>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2B18BF"/>
    <w:rPr>
      <w:b/>
      <w:bCs/>
    </w:rPr>
  </w:style>
  <w:style w:type="character" w:customStyle="1" w:styleId="CommentSubjectChar">
    <w:name w:val="Comment Subject Char"/>
    <w:basedOn w:val="CommentTextChar"/>
    <w:link w:val="CommentSubject"/>
    <w:uiPriority w:val="99"/>
    <w:semiHidden/>
    <w:rsid w:val="002B18BF"/>
    <w:rPr>
      <w:rFonts w:ascii="Times New Roman" w:eastAsia="Times New Roman" w:hAnsi="Times New Roman" w:cs="Times New Roman"/>
      <w:b/>
      <w:bCs/>
      <w:sz w:val="20"/>
      <w:szCs w:val="20"/>
      <w:lang w:bidi="ar-SA"/>
    </w:rPr>
  </w:style>
  <w:style w:type="paragraph" w:customStyle="1" w:styleId="CoverTitle">
    <w:name w:val="Cover Title"/>
    <w:basedOn w:val="Normal"/>
    <w:rsid w:val="00234DC0"/>
    <w:pPr>
      <w:overflowPunct w:val="0"/>
      <w:autoSpaceDE w:val="0"/>
      <w:autoSpaceDN w:val="0"/>
      <w:adjustRightInd w:val="0"/>
      <w:spacing w:line="440" w:lineRule="exact"/>
      <w:jc w:val="both"/>
      <w:textAlignment w:val="baseline"/>
    </w:pPr>
    <w:rPr>
      <w:rFonts w:eastAsia="SimSun"/>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467413">
      <w:bodyDiv w:val="1"/>
      <w:marLeft w:val="0"/>
      <w:marRight w:val="0"/>
      <w:marTop w:val="0"/>
      <w:marBottom w:val="0"/>
      <w:divBdr>
        <w:top w:val="none" w:sz="0" w:space="0" w:color="auto"/>
        <w:left w:val="none" w:sz="0" w:space="0" w:color="auto"/>
        <w:bottom w:val="none" w:sz="0" w:space="0" w:color="auto"/>
        <w:right w:val="none" w:sz="0" w:space="0" w:color="auto"/>
      </w:divBdr>
    </w:div>
    <w:div w:id="19737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34738-6084-43DB-91F7-4CFC5A9A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wvachirathanit</dc:creator>
  <cp:lastModifiedBy>Ukrit, Techanusorn</cp:lastModifiedBy>
  <cp:revision>17</cp:revision>
  <cp:lastPrinted>2020-11-12T18:56:00Z</cp:lastPrinted>
  <dcterms:created xsi:type="dcterms:W3CDTF">2020-11-12T08:40:00Z</dcterms:created>
  <dcterms:modified xsi:type="dcterms:W3CDTF">2020-11-13T02:50:00Z</dcterms:modified>
</cp:coreProperties>
</file>