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703"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p>
    <w:p w:rsidR="00620703"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p>
    <w:p w:rsidR="00620703"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p>
    <w:p w:rsidR="00620703"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p>
    <w:p w:rsidR="00620703"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p>
    <w:p w:rsidR="00620703"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p>
    <w:p w:rsidR="00620703"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p>
    <w:p w:rsidR="00620703"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b/>
          <w:bCs/>
          <w:sz w:val="40"/>
          <w:szCs w:val="40"/>
        </w:rPr>
      </w:pPr>
      <w:bookmarkStart w:id="0" w:name="_GoBack"/>
      <w:bookmarkEnd w:id="0"/>
      <w:r>
        <w:rPr>
          <w:rFonts w:ascii="Times New Roman" w:hAnsi="Times New Roman"/>
          <w:b/>
          <w:bCs/>
          <w:sz w:val="40"/>
          <w:szCs w:val="40"/>
        </w:rPr>
        <w:t>Thai Rayon</w:t>
      </w:r>
      <w:r w:rsidRPr="00F64399">
        <w:rPr>
          <w:rFonts w:ascii="Times New Roman" w:hAnsi="Times New Roman"/>
          <w:b/>
          <w:bCs/>
          <w:sz w:val="40"/>
          <w:szCs w:val="40"/>
        </w:rPr>
        <w:t xml:space="preserve"> Public Company Limited</w:t>
      </w:r>
    </w:p>
    <w:p w:rsidR="00620703" w:rsidRPr="00257D9F"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b/>
          <w:bCs/>
          <w:sz w:val="40"/>
          <w:szCs w:val="40"/>
        </w:rPr>
      </w:pPr>
    </w:p>
    <w:p w:rsidR="00620703" w:rsidRPr="00913797" w:rsidRDefault="00620703" w:rsidP="00620703">
      <w:pPr>
        <w:pStyle w:val="CoverTitle"/>
        <w:spacing w:line="240" w:lineRule="atLeast"/>
        <w:jc w:val="center"/>
        <w:rPr>
          <w:spacing w:val="-3"/>
          <w:szCs w:val="36"/>
        </w:rPr>
      </w:pPr>
      <w:r w:rsidRPr="00913797">
        <w:rPr>
          <w:spacing w:val="-3"/>
          <w:szCs w:val="36"/>
        </w:rPr>
        <w:t>Financial statements</w:t>
      </w:r>
      <w:r w:rsidRPr="00913797">
        <w:t xml:space="preserve"> </w:t>
      </w:r>
      <w:r w:rsidRPr="00913797">
        <w:rPr>
          <w:spacing w:val="-3"/>
          <w:szCs w:val="36"/>
        </w:rPr>
        <w:t>for the year ended</w:t>
      </w:r>
    </w:p>
    <w:p w:rsidR="00620703" w:rsidRPr="0069742F" w:rsidRDefault="00620703" w:rsidP="00620703">
      <w:pPr>
        <w:pStyle w:val="CoverTitle"/>
        <w:spacing w:line="240" w:lineRule="atLeast"/>
        <w:jc w:val="center"/>
        <w:rPr>
          <w:spacing w:val="-3"/>
          <w:szCs w:val="36"/>
          <w:lang w:val="en-US"/>
        </w:rPr>
      </w:pPr>
      <w:r>
        <w:rPr>
          <w:spacing w:val="-3"/>
          <w:szCs w:val="36"/>
        </w:rPr>
        <w:t>31 March 2021</w:t>
      </w:r>
    </w:p>
    <w:p w:rsidR="00620703" w:rsidRPr="00913797" w:rsidRDefault="00620703" w:rsidP="00620703">
      <w:pPr>
        <w:pStyle w:val="CoverTitle"/>
        <w:spacing w:line="240" w:lineRule="atLeast"/>
        <w:jc w:val="center"/>
        <w:rPr>
          <w:spacing w:val="-3"/>
          <w:szCs w:val="36"/>
        </w:rPr>
      </w:pPr>
      <w:r w:rsidRPr="00913797">
        <w:rPr>
          <w:spacing w:val="-3"/>
          <w:szCs w:val="36"/>
        </w:rPr>
        <w:t>and</w:t>
      </w:r>
    </w:p>
    <w:p w:rsidR="00620703" w:rsidRPr="00616C7A" w:rsidRDefault="00620703" w:rsidP="00620703">
      <w:pPr>
        <w:jc w:val="center"/>
        <w:rPr>
          <w:rFonts w:ascii="Times New Roman" w:hAnsi="Times New Roman" w:cs="Times New Roman"/>
          <w:spacing w:val="-3"/>
          <w:sz w:val="36"/>
          <w:szCs w:val="36"/>
          <w:lang w:val="en-GB" w:bidi="ar-SA"/>
        </w:rPr>
      </w:pPr>
      <w:r w:rsidRPr="00616C7A">
        <w:rPr>
          <w:rFonts w:ascii="Times New Roman" w:hAnsi="Times New Roman" w:cs="Times New Roman"/>
          <w:spacing w:val="-3"/>
          <w:sz w:val="36"/>
          <w:szCs w:val="36"/>
          <w:lang w:val="en-GB" w:bidi="ar-SA"/>
        </w:rPr>
        <w:t>Independent Auditor’s Report</w:t>
      </w:r>
    </w:p>
    <w:p w:rsidR="00620703" w:rsidRPr="00F64399"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sz w:val="28"/>
          <w:szCs w:val="28"/>
        </w:rPr>
        <w:sectPr w:rsidR="00620703" w:rsidRPr="00F64399" w:rsidSect="00A75E39">
          <w:headerReference w:type="default" r:id="rId5"/>
          <w:footerReference w:type="even" r:id="rId6"/>
          <w:footerReference w:type="default" r:id="rId7"/>
          <w:headerReference w:type="first" r:id="rId8"/>
          <w:pgSz w:w="11909" w:h="16834" w:code="9"/>
          <w:pgMar w:top="691" w:right="1152" w:bottom="576" w:left="1152" w:header="720" w:footer="510" w:gutter="0"/>
          <w:pgNumType w:start="0"/>
          <w:cols w:space="720"/>
        </w:sectPr>
      </w:pPr>
    </w:p>
    <w:p w:rsidR="00620703" w:rsidRPr="00F64399"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sz w:val="16"/>
          <w:szCs w:val="16"/>
        </w:rPr>
      </w:pPr>
    </w:p>
    <w:p w:rsidR="00620703" w:rsidRPr="00F64399"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sz w:val="16"/>
          <w:szCs w:val="16"/>
        </w:rPr>
      </w:pPr>
    </w:p>
    <w:p w:rsidR="00620703"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sz w:val="16"/>
          <w:szCs w:val="16"/>
        </w:rPr>
      </w:pPr>
    </w:p>
    <w:p w:rsidR="00620703" w:rsidRPr="00F64399"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sz w:val="16"/>
          <w:szCs w:val="16"/>
        </w:rPr>
      </w:pPr>
    </w:p>
    <w:p w:rsidR="00620703" w:rsidRPr="00F64399"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sz w:val="16"/>
          <w:szCs w:val="16"/>
        </w:rPr>
      </w:pPr>
    </w:p>
    <w:p w:rsidR="00620703" w:rsidRPr="00F64399"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sz w:val="16"/>
          <w:szCs w:val="16"/>
        </w:rPr>
      </w:pPr>
    </w:p>
    <w:p w:rsidR="00620703"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sz w:val="16"/>
          <w:szCs w:val="16"/>
        </w:rPr>
      </w:pPr>
    </w:p>
    <w:p w:rsidR="00620703"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sz w:val="16"/>
          <w:szCs w:val="16"/>
        </w:rPr>
      </w:pPr>
    </w:p>
    <w:p w:rsidR="00620703" w:rsidRPr="00F64399"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sz w:val="16"/>
          <w:szCs w:val="16"/>
        </w:rPr>
      </w:pPr>
    </w:p>
    <w:p w:rsidR="00620703" w:rsidRPr="00F64399"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sz w:val="16"/>
          <w:szCs w:val="16"/>
        </w:rPr>
      </w:pPr>
    </w:p>
    <w:p w:rsidR="00620703" w:rsidRDefault="00620703" w:rsidP="00620703">
      <w:pPr>
        <w:tabs>
          <w:tab w:val="clear" w:pos="227"/>
          <w:tab w:val="clear" w:pos="454"/>
          <w:tab w:val="clear" w:pos="680"/>
          <w:tab w:val="left" w:pos="720"/>
        </w:tabs>
        <w:rPr>
          <w:rFonts w:ascii="Times New Roman" w:hAnsi="Times New Roman"/>
          <w:b/>
          <w:bCs/>
          <w:sz w:val="28"/>
          <w:szCs w:val="28"/>
        </w:rPr>
      </w:pPr>
    </w:p>
    <w:p w:rsidR="00620703" w:rsidRPr="00AC0317" w:rsidRDefault="00620703" w:rsidP="00620703">
      <w:pPr>
        <w:tabs>
          <w:tab w:val="clear" w:pos="227"/>
          <w:tab w:val="clear" w:pos="454"/>
          <w:tab w:val="clear" w:pos="680"/>
          <w:tab w:val="left" w:pos="720"/>
        </w:tabs>
        <w:rPr>
          <w:rFonts w:ascii="Times New Roman" w:hAnsi="Times New Roman"/>
          <w:b/>
          <w:bCs/>
          <w:sz w:val="28"/>
          <w:szCs w:val="28"/>
        </w:rPr>
      </w:pPr>
      <w:r w:rsidRPr="00AC0317">
        <w:rPr>
          <w:rFonts w:ascii="Times New Roman" w:hAnsi="Times New Roman"/>
          <w:b/>
          <w:bCs/>
          <w:sz w:val="28"/>
          <w:szCs w:val="28"/>
        </w:rPr>
        <w:t>Independent Auditor’s Report</w:t>
      </w:r>
    </w:p>
    <w:p w:rsidR="00620703" w:rsidRPr="00AC0317" w:rsidRDefault="00620703" w:rsidP="00620703">
      <w:pPr>
        <w:pStyle w:val="RNormal"/>
        <w:rPr>
          <w:szCs w:val="22"/>
        </w:rPr>
      </w:pPr>
    </w:p>
    <w:p w:rsidR="00620703" w:rsidRPr="00AC0317" w:rsidRDefault="00620703" w:rsidP="00620703">
      <w:pPr>
        <w:pStyle w:val="RNormal"/>
        <w:rPr>
          <w:szCs w:val="22"/>
        </w:rPr>
      </w:pPr>
    </w:p>
    <w:p w:rsidR="00620703" w:rsidRPr="00AC0317" w:rsidRDefault="00620703" w:rsidP="00620703">
      <w:pPr>
        <w:tabs>
          <w:tab w:val="clear" w:pos="227"/>
          <w:tab w:val="clear" w:pos="454"/>
          <w:tab w:val="clear" w:pos="680"/>
          <w:tab w:val="left" w:pos="720"/>
        </w:tabs>
        <w:jc w:val="both"/>
        <w:rPr>
          <w:rFonts w:ascii="Times New Roman" w:hAnsi="Times New Roman"/>
          <w:b/>
          <w:bCs/>
          <w:sz w:val="24"/>
          <w:szCs w:val="24"/>
        </w:rPr>
      </w:pPr>
      <w:r w:rsidRPr="00AC0317">
        <w:rPr>
          <w:rFonts w:ascii="Times New Roman" w:hAnsi="Times New Roman"/>
          <w:b/>
          <w:bCs/>
          <w:sz w:val="24"/>
          <w:szCs w:val="24"/>
        </w:rPr>
        <w:t xml:space="preserve">To the Shareholders of </w:t>
      </w:r>
      <w:r>
        <w:rPr>
          <w:rFonts w:ascii="Times New Roman" w:hAnsi="Times New Roman"/>
          <w:b/>
          <w:bCs/>
          <w:sz w:val="24"/>
          <w:szCs w:val="24"/>
        </w:rPr>
        <w:t xml:space="preserve">Thai Rayon </w:t>
      </w:r>
      <w:r w:rsidRPr="00AC0317">
        <w:rPr>
          <w:rFonts w:ascii="Times New Roman" w:hAnsi="Times New Roman"/>
          <w:b/>
          <w:bCs/>
          <w:sz w:val="24"/>
          <w:szCs w:val="24"/>
        </w:rPr>
        <w:t xml:space="preserve">Public Company Limited </w:t>
      </w:r>
    </w:p>
    <w:p w:rsidR="00620703" w:rsidRPr="00AC0317" w:rsidRDefault="00620703" w:rsidP="00620703">
      <w:pPr>
        <w:tabs>
          <w:tab w:val="clear" w:pos="227"/>
          <w:tab w:val="clear" w:pos="454"/>
          <w:tab w:val="clear" w:pos="680"/>
          <w:tab w:val="left" w:pos="720"/>
        </w:tabs>
        <w:jc w:val="both"/>
        <w:rPr>
          <w:rFonts w:ascii="Times New Roman" w:hAnsi="Times New Roman"/>
          <w:i/>
          <w:sz w:val="22"/>
          <w:szCs w:val="22"/>
        </w:rPr>
      </w:pPr>
    </w:p>
    <w:p w:rsidR="00620703" w:rsidRPr="00AC0317" w:rsidRDefault="00620703" w:rsidP="00620703">
      <w:pPr>
        <w:pStyle w:val="StandaardOpinion"/>
        <w:tabs>
          <w:tab w:val="clear" w:pos="227"/>
          <w:tab w:val="clear" w:pos="454"/>
          <w:tab w:val="clear" w:pos="680"/>
          <w:tab w:val="left" w:pos="720"/>
        </w:tabs>
        <w:spacing w:line="240" w:lineRule="atLeast"/>
        <w:jc w:val="thaiDistribute"/>
        <w:rPr>
          <w:rFonts w:cs="Times New Roman"/>
        </w:rPr>
      </w:pPr>
    </w:p>
    <w:p w:rsidR="00620703" w:rsidRPr="00AC0317" w:rsidRDefault="00620703" w:rsidP="00620703">
      <w:pPr>
        <w:jc w:val="both"/>
        <w:outlineLvl w:val="0"/>
        <w:rPr>
          <w:rFonts w:ascii="Times New Roman" w:hAnsi="Times New Roman" w:cs="Times New Roman"/>
          <w:i/>
          <w:iCs/>
          <w:sz w:val="22"/>
          <w:szCs w:val="22"/>
        </w:rPr>
      </w:pPr>
      <w:r w:rsidRPr="00AC0317">
        <w:rPr>
          <w:rFonts w:ascii="Times New Roman" w:hAnsi="Times New Roman" w:cs="Times New Roman"/>
          <w:i/>
          <w:iCs/>
          <w:sz w:val="22"/>
          <w:szCs w:val="22"/>
        </w:rPr>
        <w:t>Opinion</w:t>
      </w:r>
    </w:p>
    <w:p w:rsidR="00620703" w:rsidRPr="00AC0317" w:rsidRDefault="00620703" w:rsidP="00620703">
      <w:pPr>
        <w:jc w:val="both"/>
        <w:outlineLvl w:val="0"/>
        <w:rPr>
          <w:rFonts w:ascii="Times New Roman" w:hAnsi="Times New Roman" w:cs="Times New Roman"/>
          <w:sz w:val="22"/>
          <w:szCs w:val="22"/>
        </w:rPr>
      </w:pPr>
    </w:p>
    <w:p w:rsidR="00620703" w:rsidRPr="00AC0317" w:rsidRDefault="00620703" w:rsidP="00620703">
      <w:pPr>
        <w:jc w:val="both"/>
        <w:rPr>
          <w:rFonts w:ascii="Times New Roman" w:hAnsi="Times New Roman" w:cs="Times New Roman"/>
          <w:sz w:val="22"/>
          <w:szCs w:val="22"/>
        </w:rPr>
      </w:pPr>
      <w:r w:rsidRPr="00052738">
        <w:rPr>
          <w:rFonts w:ascii="Times New Roman" w:hAnsi="Times New Roman" w:cs="Times New Roman"/>
          <w:sz w:val="22"/>
          <w:szCs w:val="22"/>
        </w:rPr>
        <w:t xml:space="preserve">I have audited the financial statements in which the equity method is applied and separate financial statements of Thai Rayon Public Company Limited (the “Company”), which comprise the statement of financial position in which the equity method is applied and separate statement of financial position as at 31 </w:t>
      </w:r>
      <w:r>
        <w:rPr>
          <w:rFonts w:ascii="Times New Roman" w:hAnsi="Times New Roman" w:cs="Times New Roman"/>
          <w:sz w:val="22"/>
          <w:szCs w:val="22"/>
        </w:rPr>
        <w:t>March</w:t>
      </w:r>
      <w:r w:rsidRPr="00052738">
        <w:rPr>
          <w:rFonts w:ascii="Times New Roman" w:hAnsi="Times New Roman" w:cs="Times New Roman"/>
          <w:sz w:val="22"/>
          <w:szCs w:val="22"/>
        </w:rPr>
        <w:t xml:space="preserve"> 202</w:t>
      </w:r>
      <w:r>
        <w:rPr>
          <w:rFonts w:ascii="Times New Roman" w:hAnsi="Times New Roman" w:cs="Times New Roman"/>
          <w:sz w:val="22"/>
          <w:szCs w:val="22"/>
        </w:rPr>
        <w:t>1</w:t>
      </w:r>
      <w:r w:rsidRPr="00052738">
        <w:rPr>
          <w:rFonts w:ascii="Times New Roman" w:hAnsi="Times New Roman" w:cs="Times New Roman"/>
          <w:sz w:val="22"/>
          <w:szCs w:val="22"/>
        </w:rPr>
        <w:t xml:space="preserve">, </w:t>
      </w:r>
      <w:r>
        <w:rPr>
          <w:rFonts w:ascii="Times New Roman" w:hAnsi="Times New Roman" w:cs="Times New Roman"/>
          <w:sz w:val="22"/>
          <w:szCs w:val="22"/>
        </w:rPr>
        <w:t xml:space="preserve">the </w:t>
      </w:r>
      <w:r w:rsidRPr="00052738">
        <w:rPr>
          <w:rFonts w:ascii="Times New Roman" w:hAnsi="Times New Roman" w:cs="Times New Roman"/>
          <w:sz w:val="22"/>
          <w:szCs w:val="22"/>
        </w:rPr>
        <w:t>statement of income</w:t>
      </w:r>
      <w:r w:rsidRPr="00052738">
        <w:rPr>
          <w:rFonts w:ascii="Times New Roman" w:hAnsi="Times New Roman" w:cs="Times New Roman" w:hint="cs"/>
          <w:sz w:val="22"/>
          <w:szCs w:val="22"/>
          <w:cs/>
        </w:rPr>
        <w:t xml:space="preserve"> </w:t>
      </w:r>
      <w:r w:rsidRPr="00052738">
        <w:rPr>
          <w:rFonts w:ascii="Times New Roman" w:hAnsi="Times New Roman" w:cs="Times New Roman"/>
          <w:sz w:val="22"/>
          <w:szCs w:val="22"/>
        </w:rPr>
        <w:t xml:space="preserve">in which the equity method is applied and separate statement of income, the statement of comprehensive income in which the equity method is applied and separate statement of comprehensive income, the statement of changes in equity in which the equity method is applied and separate statement of changes in equity and the statement of cash flows in which the equity method is applied and separate statement of cash flows for the </w:t>
      </w:r>
      <w:r w:rsidRPr="00AC0317">
        <w:rPr>
          <w:rFonts w:ascii="Times New Roman" w:hAnsi="Times New Roman" w:cs="Times New Roman"/>
          <w:sz w:val="22"/>
          <w:szCs w:val="22"/>
        </w:rPr>
        <w:t>year then ended, and notes, comprising a summary of significant accounting policies and other explanatory information.</w:t>
      </w:r>
    </w:p>
    <w:p w:rsidR="00620703" w:rsidRPr="00AC0317" w:rsidRDefault="00620703" w:rsidP="00620703">
      <w:pPr>
        <w:jc w:val="both"/>
        <w:rPr>
          <w:rFonts w:ascii="Times New Roman" w:hAnsi="Times New Roman" w:cs="Times New Roman"/>
          <w:sz w:val="22"/>
          <w:szCs w:val="22"/>
        </w:rPr>
      </w:pPr>
    </w:p>
    <w:p w:rsidR="00620703" w:rsidRPr="00AC0317" w:rsidRDefault="00620703" w:rsidP="00620703">
      <w:pPr>
        <w:shd w:val="clear" w:color="auto" w:fill="FFFFFF"/>
        <w:jc w:val="both"/>
        <w:rPr>
          <w:rFonts w:ascii="Times New Roman" w:hAnsi="Times New Roman" w:cs="Times New Roman"/>
          <w:sz w:val="22"/>
          <w:szCs w:val="22"/>
        </w:rPr>
      </w:pPr>
      <w:r w:rsidRPr="00AC0317">
        <w:rPr>
          <w:rFonts w:ascii="Times New Roman" w:hAnsi="Times New Roman" w:cs="Times New Roman"/>
          <w:sz w:val="22"/>
          <w:szCs w:val="22"/>
        </w:rPr>
        <w:t xml:space="preserve">In my opinion, the accompanying </w:t>
      </w:r>
      <w:r w:rsidRPr="00052738">
        <w:rPr>
          <w:rFonts w:ascii="Times New Roman" w:hAnsi="Times New Roman" w:cs="Times New Roman"/>
          <w:sz w:val="22"/>
          <w:szCs w:val="22"/>
        </w:rPr>
        <w:t>financial statements in which the equity method is applied</w:t>
      </w:r>
      <w:r w:rsidRPr="00AC0317">
        <w:rPr>
          <w:rFonts w:ascii="Times New Roman" w:hAnsi="Times New Roman" w:cs="Times New Roman"/>
          <w:sz w:val="22"/>
          <w:szCs w:val="22"/>
        </w:rPr>
        <w:t xml:space="preserve"> and separate financial statements present fairly, in all material respects, the financial position of</w:t>
      </w:r>
      <w:r>
        <w:rPr>
          <w:rFonts w:ascii="Times New Roman" w:hAnsi="Times New Roman" w:cs="Times New Roman"/>
          <w:sz w:val="22"/>
          <w:szCs w:val="22"/>
        </w:rPr>
        <w:t xml:space="preserve"> </w:t>
      </w:r>
      <w:r w:rsidRPr="00336D07">
        <w:rPr>
          <w:rFonts w:ascii="Times New Roman" w:hAnsi="Times New Roman" w:cs="Times New Roman"/>
          <w:spacing w:val="-2"/>
          <w:sz w:val="22"/>
          <w:szCs w:val="22"/>
        </w:rPr>
        <w:t>the Company</w:t>
      </w:r>
      <w:r>
        <w:rPr>
          <w:rFonts w:ascii="Times New Roman" w:hAnsi="Times New Roman" w:cs="Times New Roman"/>
          <w:spacing w:val="-2"/>
          <w:sz w:val="22"/>
          <w:szCs w:val="22"/>
        </w:rPr>
        <w:t xml:space="preserve"> </w:t>
      </w:r>
      <w:r w:rsidRPr="00336D07">
        <w:rPr>
          <w:rFonts w:ascii="Times New Roman" w:hAnsi="Times New Roman" w:cs="Times New Roman"/>
          <w:spacing w:val="-2"/>
          <w:sz w:val="22"/>
          <w:szCs w:val="22"/>
        </w:rPr>
        <w:t xml:space="preserve">as at 31 </w:t>
      </w:r>
      <w:r>
        <w:rPr>
          <w:rFonts w:ascii="Times New Roman" w:hAnsi="Times New Roman" w:cs="Times New Roman"/>
          <w:spacing w:val="-2"/>
          <w:sz w:val="22"/>
          <w:szCs w:val="22"/>
        </w:rPr>
        <w:t>March 2021</w:t>
      </w:r>
      <w:r w:rsidRPr="00336D07">
        <w:rPr>
          <w:rFonts w:ascii="Times New Roman" w:hAnsi="Times New Roman" w:cs="Times New Roman"/>
          <w:spacing w:val="-2"/>
          <w:sz w:val="22"/>
          <w:szCs w:val="22"/>
        </w:rPr>
        <w:t xml:space="preserve"> </w:t>
      </w:r>
      <w:r w:rsidRPr="00AC0317">
        <w:rPr>
          <w:rFonts w:ascii="Times New Roman" w:hAnsi="Times New Roman" w:cs="Times New Roman"/>
          <w:sz w:val="22"/>
          <w:szCs w:val="22"/>
        </w:rPr>
        <w:t xml:space="preserve">and </w:t>
      </w:r>
      <w:r>
        <w:rPr>
          <w:rFonts w:ascii="Times New Roman" w:hAnsi="Times New Roman" w:cs="Times New Roman"/>
          <w:sz w:val="22"/>
          <w:szCs w:val="22"/>
        </w:rPr>
        <w:t>its</w:t>
      </w:r>
      <w:r w:rsidRPr="00AC0317">
        <w:rPr>
          <w:rFonts w:ascii="Times New Roman" w:hAnsi="Times New Roman" w:cs="Times New Roman"/>
          <w:sz w:val="22"/>
          <w:szCs w:val="22"/>
        </w:rPr>
        <w:t xml:space="preserve"> financial performance and cash flows for the year then ended in accordance with Thai Financial Reporting Standards (TFRSs). </w:t>
      </w:r>
    </w:p>
    <w:p w:rsidR="00620703" w:rsidRPr="00AC0317" w:rsidRDefault="00620703" w:rsidP="00620703">
      <w:pPr>
        <w:shd w:val="clear" w:color="auto" w:fill="FFFFFF"/>
        <w:jc w:val="both"/>
        <w:rPr>
          <w:rFonts w:ascii="Times New Roman" w:hAnsi="Times New Roman" w:cs="Times New Roman"/>
          <w:sz w:val="22"/>
          <w:szCs w:val="22"/>
        </w:rPr>
      </w:pPr>
    </w:p>
    <w:p w:rsidR="00620703" w:rsidRPr="00AC0317" w:rsidRDefault="00620703" w:rsidP="00620703">
      <w:pPr>
        <w:autoSpaceDE w:val="0"/>
        <w:autoSpaceDN w:val="0"/>
        <w:adjustRightInd w:val="0"/>
        <w:rPr>
          <w:rFonts w:ascii="Times New Roman" w:hAnsi="Times New Roman" w:cs="Times New Roman"/>
          <w:i/>
          <w:iCs/>
          <w:sz w:val="22"/>
          <w:szCs w:val="22"/>
        </w:rPr>
      </w:pPr>
      <w:r w:rsidRPr="00AC0317">
        <w:rPr>
          <w:rFonts w:ascii="Times New Roman" w:hAnsi="Times New Roman" w:cs="Times New Roman"/>
          <w:i/>
          <w:iCs/>
          <w:sz w:val="22"/>
          <w:szCs w:val="22"/>
        </w:rPr>
        <w:t xml:space="preserve">Basis for Opinion </w:t>
      </w:r>
    </w:p>
    <w:p w:rsidR="00620703" w:rsidRPr="00AC0317" w:rsidRDefault="00620703" w:rsidP="00620703">
      <w:pPr>
        <w:autoSpaceDE w:val="0"/>
        <w:autoSpaceDN w:val="0"/>
        <w:adjustRightInd w:val="0"/>
        <w:rPr>
          <w:rFonts w:ascii="Times New Roman" w:hAnsi="Times New Roman" w:cs="Times New Roman"/>
          <w:sz w:val="22"/>
          <w:szCs w:val="22"/>
        </w:rPr>
      </w:pPr>
    </w:p>
    <w:p w:rsidR="00620703" w:rsidRPr="00AC0317" w:rsidRDefault="00620703" w:rsidP="00620703">
      <w:pPr>
        <w:autoSpaceDE w:val="0"/>
        <w:autoSpaceDN w:val="0"/>
        <w:adjustRightInd w:val="0"/>
        <w:jc w:val="thaiDistribute"/>
        <w:rPr>
          <w:rFonts w:ascii="Times New Roman" w:hAnsi="Times New Roman" w:cs="Times New Roman"/>
          <w:sz w:val="22"/>
          <w:szCs w:val="22"/>
        </w:rPr>
      </w:pPr>
      <w:r w:rsidRPr="00B450F6">
        <w:rPr>
          <w:rFonts w:ascii="Times New Roman" w:hAnsi="Times New Roman" w:cs="Times New Roman"/>
          <w:spacing w:val="2"/>
          <w:sz w:val="22"/>
          <w:szCs w:val="22"/>
        </w:rPr>
        <w:t xml:space="preserve">I conducted my audit in accordance with Thai Standards on Auditing (TSAs). My responsibilities under </w:t>
      </w:r>
      <w:r w:rsidRPr="00B450F6">
        <w:rPr>
          <w:rFonts w:ascii="Times New Roman" w:hAnsi="Times New Roman" w:cs="Times New Roman"/>
          <w:sz w:val="22"/>
          <w:szCs w:val="22"/>
        </w:rPr>
        <w:t xml:space="preserve">those standards are further described in the </w:t>
      </w:r>
      <w:r w:rsidRPr="00B450F6">
        <w:rPr>
          <w:rFonts w:ascii="Times New Roman" w:hAnsi="Times New Roman" w:cs="Times New Roman"/>
          <w:i/>
          <w:iCs/>
          <w:sz w:val="22"/>
          <w:szCs w:val="22"/>
        </w:rPr>
        <w:t>Auditor’s Responsibilities for the Audit of the financial</w:t>
      </w:r>
      <w:r w:rsidRPr="00B450F6">
        <w:rPr>
          <w:rFonts w:ascii="Times New Roman" w:hAnsi="Times New Roman" w:cs="Times New Roman"/>
          <w:i/>
          <w:iCs/>
          <w:spacing w:val="2"/>
          <w:sz w:val="22"/>
          <w:szCs w:val="22"/>
        </w:rPr>
        <w:t xml:space="preserve"> statements in which</w:t>
      </w:r>
      <w:r w:rsidRPr="00B450F6">
        <w:rPr>
          <w:rFonts w:ascii="Times New Roman" w:hAnsi="Times New Roman" w:cs="Times New Roman"/>
          <w:i/>
          <w:iCs/>
          <w:spacing w:val="-2"/>
          <w:sz w:val="22"/>
          <w:szCs w:val="22"/>
        </w:rPr>
        <w:t xml:space="preserve"> the equity method is applied and Separate Financial Statements</w:t>
      </w:r>
      <w:r w:rsidRPr="00B450F6">
        <w:rPr>
          <w:rFonts w:ascii="Times New Roman" w:hAnsi="Times New Roman" w:cs="Times New Roman"/>
          <w:spacing w:val="-2"/>
          <w:sz w:val="22"/>
          <w:szCs w:val="22"/>
        </w:rPr>
        <w:t xml:space="preserve"> section of my report. I am</w:t>
      </w:r>
      <w:r w:rsidRPr="00AC0317">
        <w:rPr>
          <w:rFonts w:ascii="Times New Roman" w:hAnsi="Times New Roman" w:cs="Times New Roman"/>
          <w:sz w:val="22"/>
          <w:szCs w:val="22"/>
        </w:rPr>
        <w:t xml:space="preserve"> independent of the Company</w:t>
      </w:r>
      <w:r>
        <w:rPr>
          <w:rFonts w:ascii="Times New Roman" w:hAnsi="Times New Roman" w:cs="Times New Roman"/>
          <w:sz w:val="22"/>
          <w:szCs w:val="22"/>
        </w:rPr>
        <w:t xml:space="preserve"> </w:t>
      </w:r>
      <w:r w:rsidRPr="00AC0317">
        <w:rPr>
          <w:rFonts w:ascii="Times New Roman" w:hAnsi="Times New Roman" w:cs="Times New Roman"/>
          <w:sz w:val="22"/>
          <w:szCs w:val="22"/>
        </w:rPr>
        <w:t>in accordance with the Code of Ethics for Professional</w:t>
      </w:r>
      <w:r>
        <w:rPr>
          <w:rFonts w:ascii="Times New Roman" w:hAnsi="Times New Roman" w:cs="Times New Roman"/>
          <w:sz w:val="22"/>
          <w:szCs w:val="22"/>
        </w:rPr>
        <w:t xml:space="preserve"> </w:t>
      </w:r>
      <w:r w:rsidRPr="00AC0317">
        <w:rPr>
          <w:rFonts w:ascii="Times New Roman" w:hAnsi="Times New Roman" w:cs="Times New Roman"/>
          <w:sz w:val="22"/>
          <w:szCs w:val="22"/>
        </w:rPr>
        <w:t xml:space="preserve">Accountants issued by the Federation of Accounting Professions that is relevant to my audit of the </w:t>
      </w:r>
      <w:r w:rsidRPr="00052738">
        <w:rPr>
          <w:rFonts w:ascii="Times New Roman" w:hAnsi="Times New Roman" w:cs="Times New Roman"/>
          <w:sz w:val="22"/>
          <w:szCs w:val="22"/>
        </w:rPr>
        <w:t>financial statements in which the equity method is applied</w:t>
      </w:r>
      <w:r w:rsidRPr="00AC0317">
        <w:rPr>
          <w:rFonts w:ascii="Times New Roman" w:hAnsi="Times New Roman" w:cs="Times New Roman"/>
          <w:sz w:val="22"/>
          <w:szCs w:val="22"/>
        </w:rPr>
        <w:t xml:space="preserve"> and separate financial statements, and I have fulfilled my</w:t>
      </w:r>
      <w:r>
        <w:rPr>
          <w:rFonts w:ascii="Times New Roman" w:hAnsi="Times New Roman" w:cs="Times New Roman"/>
          <w:sz w:val="22"/>
          <w:szCs w:val="22"/>
        </w:rPr>
        <w:t xml:space="preserve"> </w:t>
      </w:r>
      <w:r w:rsidRPr="00AC0317">
        <w:rPr>
          <w:rFonts w:ascii="Times New Roman" w:hAnsi="Times New Roman" w:cs="Times New Roman"/>
          <w:sz w:val="22"/>
          <w:szCs w:val="22"/>
        </w:rPr>
        <w:t>other ethical responsibilities in accordance with these requirements. I believe that</w:t>
      </w:r>
      <w:r>
        <w:rPr>
          <w:rFonts w:ascii="Times New Roman" w:hAnsi="Times New Roman" w:cs="Cordia New"/>
          <w:sz w:val="22"/>
          <w:szCs w:val="22"/>
        </w:rPr>
        <w:t xml:space="preserve"> </w:t>
      </w:r>
      <w:r w:rsidRPr="00AC0317">
        <w:rPr>
          <w:rFonts w:ascii="Times New Roman" w:hAnsi="Times New Roman" w:cs="Times New Roman"/>
          <w:sz w:val="22"/>
          <w:szCs w:val="22"/>
        </w:rPr>
        <w:t>the</w:t>
      </w:r>
      <w:r w:rsidRPr="00AC0317">
        <w:rPr>
          <w:rFonts w:ascii="Times New Roman" w:hAnsi="Times New Roman" w:cs="Cordia New" w:hint="cs"/>
          <w:sz w:val="22"/>
          <w:szCs w:val="22"/>
          <w:cs/>
        </w:rPr>
        <w:t xml:space="preserve"> </w:t>
      </w:r>
      <w:r w:rsidRPr="00AC0317">
        <w:rPr>
          <w:rFonts w:ascii="Times New Roman" w:hAnsi="Times New Roman" w:cs="Times New Roman"/>
          <w:sz w:val="22"/>
          <w:szCs w:val="22"/>
        </w:rPr>
        <w:t>audit evidence I have obtained is sufficient and appropriate to provide a basis for my opinion.</w:t>
      </w:r>
    </w:p>
    <w:p w:rsidR="00620703" w:rsidRPr="00AC0317" w:rsidRDefault="00620703" w:rsidP="00620703">
      <w:pPr>
        <w:spacing w:after="160" w:line="259" w:lineRule="auto"/>
        <w:rPr>
          <w:rFonts w:ascii="Times New Roman" w:hAnsi="Times New Roman" w:cs="Times New Roman"/>
          <w:sz w:val="22"/>
          <w:szCs w:val="22"/>
        </w:rPr>
      </w:pPr>
    </w:p>
    <w:p w:rsidR="00620703" w:rsidRPr="00AC0317" w:rsidRDefault="00620703" w:rsidP="00620703">
      <w:pPr>
        <w:autoSpaceDE w:val="0"/>
        <w:autoSpaceDN w:val="0"/>
        <w:adjustRightInd w:val="0"/>
        <w:rPr>
          <w:rFonts w:ascii="Times New Roman" w:hAnsi="Times New Roman" w:cs="Times New Roman"/>
          <w:i/>
          <w:iCs/>
          <w:sz w:val="22"/>
          <w:szCs w:val="22"/>
        </w:rPr>
      </w:pPr>
      <w:r w:rsidRPr="00AC0317">
        <w:rPr>
          <w:rFonts w:ascii="Times New Roman" w:hAnsi="Times New Roman" w:cs="Times New Roman"/>
          <w:i/>
          <w:iCs/>
          <w:sz w:val="22"/>
          <w:szCs w:val="22"/>
        </w:rPr>
        <w:t>Key Audit Matters</w:t>
      </w:r>
    </w:p>
    <w:p w:rsidR="00620703" w:rsidRPr="00AC0317" w:rsidRDefault="00620703" w:rsidP="00620703">
      <w:pPr>
        <w:autoSpaceDE w:val="0"/>
        <w:autoSpaceDN w:val="0"/>
        <w:adjustRightInd w:val="0"/>
        <w:rPr>
          <w:rFonts w:ascii="Times New Roman" w:hAnsi="Times New Roman" w:cs="Times New Roman"/>
          <w:i/>
          <w:iCs/>
          <w:sz w:val="22"/>
          <w:szCs w:val="22"/>
        </w:rPr>
      </w:pPr>
      <w:r w:rsidRPr="00AC0317">
        <w:rPr>
          <w:rFonts w:ascii="Times New Roman" w:hAnsi="Times New Roman" w:cs="Times New Roman"/>
          <w:i/>
          <w:iCs/>
          <w:sz w:val="22"/>
          <w:szCs w:val="22"/>
        </w:rPr>
        <w:t xml:space="preserve"> </w:t>
      </w:r>
    </w:p>
    <w:p w:rsidR="00620703" w:rsidRPr="00070AA4" w:rsidRDefault="00620703" w:rsidP="00620703">
      <w:pPr>
        <w:autoSpaceDE w:val="0"/>
        <w:autoSpaceDN w:val="0"/>
        <w:adjustRightInd w:val="0"/>
        <w:jc w:val="both"/>
        <w:rPr>
          <w:rFonts w:ascii="Times New Roman" w:hAnsi="Times New Roman" w:cs="Times New Roman"/>
          <w:sz w:val="22"/>
          <w:szCs w:val="22"/>
        </w:rPr>
        <w:sectPr w:rsidR="00620703" w:rsidRPr="00070AA4" w:rsidSect="00FB3529">
          <w:footerReference w:type="default" r:id="rId9"/>
          <w:pgSz w:w="11909" w:h="16834" w:code="9"/>
          <w:pgMar w:top="691" w:right="1152" w:bottom="576" w:left="1152" w:header="720" w:footer="750" w:gutter="0"/>
          <w:cols w:space="720"/>
          <w:docGrid w:linePitch="245"/>
        </w:sectPr>
      </w:pPr>
      <w:r w:rsidRPr="00AC0317">
        <w:rPr>
          <w:rFonts w:ascii="Times New Roman" w:hAnsi="Times New Roman" w:cs="Times New Roman"/>
          <w:sz w:val="22"/>
          <w:szCs w:val="22"/>
        </w:rPr>
        <w:t xml:space="preserve">Key audit matters are those matters that, in my professional judgment, were of most significance in my audit of the </w:t>
      </w:r>
      <w:r w:rsidRPr="00052738">
        <w:rPr>
          <w:rFonts w:ascii="Times New Roman" w:hAnsi="Times New Roman" w:cs="Times New Roman"/>
          <w:sz w:val="22"/>
          <w:szCs w:val="22"/>
        </w:rPr>
        <w:t>financial statements in which the equity method is applied</w:t>
      </w:r>
      <w:r w:rsidRPr="00AC0317">
        <w:rPr>
          <w:rFonts w:ascii="Times New Roman" w:hAnsi="Times New Roman" w:cs="Times New Roman"/>
          <w:sz w:val="22"/>
          <w:szCs w:val="22"/>
        </w:rPr>
        <w:t xml:space="preserve"> and separate financial statements of the current period. These matters were addressed in the context of my audit of the </w:t>
      </w:r>
      <w:r w:rsidRPr="00052738">
        <w:rPr>
          <w:rFonts w:ascii="Times New Roman" w:hAnsi="Times New Roman" w:cs="Times New Roman"/>
          <w:sz w:val="22"/>
          <w:szCs w:val="22"/>
        </w:rPr>
        <w:t>financial statements in which the equity method is applied</w:t>
      </w:r>
      <w:r>
        <w:rPr>
          <w:rFonts w:ascii="Times New Roman" w:hAnsi="Times New Roman" w:cs="Times New Roman"/>
          <w:sz w:val="22"/>
          <w:szCs w:val="22"/>
        </w:rPr>
        <w:t xml:space="preserve"> </w:t>
      </w:r>
      <w:r w:rsidRPr="00AC0317">
        <w:rPr>
          <w:rFonts w:ascii="Times New Roman" w:hAnsi="Times New Roman" w:cs="Times New Roman"/>
          <w:sz w:val="22"/>
          <w:szCs w:val="22"/>
        </w:rPr>
        <w:t>and separate financial statements as a whole, and in forming my opinion thereon, and I do not provide a separate opinion on these matters.</w:t>
      </w:r>
    </w:p>
    <w:p w:rsidR="00620703" w:rsidRDefault="00620703" w:rsidP="00620703">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imes New Roman"/>
        </w:rPr>
      </w:pPr>
    </w:p>
    <w:p w:rsidR="00620703" w:rsidRPr="00AC0317" w:rsidRDefault="00620703" w:rsidP="00620703">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5"/>
        <w:gridCol w:w="4675"/>
      </w:tblGrid>
      <w:tr w:rsidR="00620703" w:rsidRPr="00AC0317" w:rsidTr="0079105F">
        <w:tc>
          <w:tcPr>
            <w:tcW w:w="9350" w:type="dxa"/>
            <w:gridSpan w:val="2"/>
            <w:shd w:val="clear" w:color="auto" w:fill="auto"/>
          </w:tcPr>
          <w:p w:rsidR="00620703" w:rsidRPr="00AC0317" w:rsidRDefault="00620703" w:rsidP="0079105F">
            <w:pPr>
              <w:pStyle w:val="BodyText"/>
              <w:jc w:val="thaiDistribute"/>
              <w:rPr>
                <w:rFonts w:ascii="Times New Roman" w:hAnsi="Times New Roman" w:cs="Times New Roman"/>
                <w:sz w:val="22"/>
                <w:szCs w:val="22"/>
              </w:rPr>
            </w:pPr>
            <w:r>
              <w:rPr>
                <w:rFonts w:ascii="Times New Roman" w:hAnsi="Times New Roman" w:cs="Times New Roman"/>
                <w:sz w:val="22"/>
                <w:szCs w:val="22"/>
              </w:rPr>
              <w:t>Valuation of investments in joint venture and associates in the separate financial statements</w:t>
            </w:r>
          </w:p>
        </w:tc>
      </w:tr>
      <w:tr w:rsidR="00620703" w:rsidRPr="00AC0317" w:rsidTr="0079105F">
        <w:tc>
          <w:tcPr>
            <w:tcW w:w="9350" w:type="dxa"/>
            <w:gridSpan w:val="2"/>
            <w:shd w:val="clear" w:color="auto" w:fill="auto"/>
          </w:tcPr>
          <w:p w:rsidR="00620703" w:rsidRPr="00AC0317" w:rsidRDefault="00620703" w:rsidP="0079105F">
            <w:pPr>
              <w:autoSpaceDE w:val="0"/>
              <w:autoSpaceDN w:val="0"/>
              <w:adjustRightInd w:val="0"/>
              <w:jc w:val="both"/>
              <w:rPr>
                <w:rFonts w:ascii="Times New Roman" w:hAnsi="Times New Roman" w:cs="Times New Roman"/>
                <w:sz w:val="22"/>
                <w:szCs w:val="22"/>
              </w:rPr>
            </w:pPr>
            <w:r w:rsidRPr="003B7A53">
              <w:rPr>
                <w:rFonts w:ascii="Times New Roman" w:hAnsi="Times New Roman" w:cs="Times New Roman"/>
                <w:sz w:val="22"/>
                <w:szCs w:val="22"/>
              </w:rPr>
              <w:t xml:space="preserve">Refer to Notes </w:t>
            </w:r>
            <w:r>
              <w:rPr>
                <w:rFonts w:ascii="Times New Roman" w:hAnsi="Times New Roman" w:cs="Times New Roman"/>
                <w:sz w:val="22"/>
                <w:szCs w:val="22"/>
              </w:rPr>
              <w:t>4</w:t>
            </w:r>
            <w:r w:rsidRPr="003B7A53">
              <w:rPr>
                <w:rFonts w:ascii="Times New Roman" w:hAnsi="Times New Roman" w:cs="Times New Roman"/>
                <w:sz w:val="22"/>
                <w:szCs w:val="22"/>
              </w:rPr>
              <w:t xml:space="preserve"> </w:t>
            </w:r>
            <w:r>
              <w:rPr>
                <w:rFonts w:ascii="Times New Roman" w:hAnsi="Times New Roman" w:cs="Times New Roman"/>
                <w:sz w:val="22"/>
                <w:szCs w:val="22"/>
              </w:rPr>
              <w:t xml:space="preserve">and 11 </w:t>
            </w:r>
            <w:r w:rsidRPr="003B7A53">
              <w:rPr>
                <w:rFonts w:ascii="Times New Roman" w:hAnsi="Times New Roman" w:cs="Times New Roman"/>
                <w:sz w:val="22"/>
                <w:szCs w:val="22"/>
              </w:rPr>
              <w:t>to the financial statements.</w:t>
            </w:r>
          </w:p>
        </w:tc>
      </w:tr>
      <w:tr w:rsidR="00620703" w:rsidRPr="00AC0317" w:rsidTr="0079105F">
        <w:tc>
          <w:tcPr>
            <w:tcW w:w="4675" w:type="dxa"/>
            <w:shd w:val="clear" w:color="auto" w:fill="auto"/>
          </w:tcPr>
          <w:p w:rsidR="00620703" w:rsidRPr="00AC0317" w:rsidRDefault="00620703" w:rsidP="0079105F">
            <w:pPr>
              <w:autoSpaceDE w:val="0"/>
              <w:autoSpaceDN w:val="0"/>
              <w:adjustRightInd w:val="0"/>
              <w:jc w:val="both"/>
              <w:rPr>
                <w:rFonts w:ascii="Times New Roman" w:hAnsi="Times New Roman" w:cs="Times New Roman"/>
                <w:b/>
                <w:bCs/>
                <w:sz w:val="22"/>
                <w:szCs w:val="22"/>
              </w:rPr>
            </w:pPr>
            <w:r w:rsidRPr="00AC0317">
              <w:rPr>
                <w:rFonts w:ascii="Times New Roman" w:hAnsi="Times New Roman" w:cs="Times New Roman"/>
                <w:b/>
                <w:bCs/>
                <w:sz w:val="22"/>
                <w:szCs w:val="22"/>
              </w:rPr>
              <w:t>The key audit matter</w:t>
            </w:r>
          </w:p>
        </w:tc>
        <w:tc>
          <w:tcPr>
            <w:tcW w:w="4675" w:type="dxa"/>
            <w:shd w:val="clear" w:color="auto" w:fill="auto"/>
          </w:tcPr>
          <w:p w:rsidR="00620703" w:rsidRPr="00AC0317" w:rsidRDefault="00620703" w:rsidP="0079105F">
            <w:pPr>
              <w:autoSpaceDE w:val="0"/>
              <w:autoSpaceDN w:val="0"/>
              <w:adjustRightInd w:val="0"/>
              <w:jc w:val="both"/>
              <w:rPr>
                <w:rFonts w:ascii="Times New Roman" w:hAnsi="Times New Roman" w:cs="Times New Roman"/>
                <w:b/>
                <w:bCs/>
                <w:sz w:val="22"/>
                <w:szCs w:val="22"/>
              </w:rPr>
            </w:pPr>
            <w:r w:rsidRPr="00AC0317">
              <w:rPr>
                <w:rFonts w:ascii="Times New Roman" w:hAnsi="Times New Roman" w:cs="Times New Roman"/>
                <w:b/>
                <w:bCs/>
                <w:sz w:val="22"/>
                <w:szCs w:val="22"/>
              </w:rPr>
              <w:t>How the matter was addressed in the audit</w:t>
            </w:r>
          </w:p>
        </w:tc>
      </w:tr>
      <w:tr w:rsidR="00620703" w:rsidRPr="00EF6257" w:rsidTr="0079105F">
        <w:tc>
          <w:tcPr>
            <w:tcW w:w="4675" w:type="dxa"/>
            <w:shd w:val="clear" w:color="auto" w:fill="auto"/>
          </w:tcPr>
          <w:p w:rsidR="00620703" w:rsidRPr="00C12E3E" w:rsidRDefault="00620703" w:rsidP="0079105F">
            <w:pPr>
              <w:autoSpaceDE w:val="0"/>
              <w:autoSpaceDN w:val="0"/>
              <w:adjustRightInd w:val="0"/>
              <w:jc w:val="both"/>
              <w:rPr>
                <w:rFonts w:ascii="Times New Roman" w:hAnsi="Times New Roman" w:cs="Times New Roman"/>
                <w:sz w:val="22"/>
                <w:szCs w:val="22"/>
                <w:lang w:val="en-GB" w:bidi="ar-SA"/>
              </w:rPr>
            </w:pPr>
          </w:p>
          <w:p w:rsidR="00620703" w:rsidRPr="00EE5480" w:rsidRDefault="00620703" w:rsidP="0079105F">
            <w:pPr>
              <w:jc w:val="thaiDistribute"/>
              <w:rPr>
                <w:rFonts w:ascii="Times New Roman" w:hAnsi="Times New Roman" w:cs="Times New Roman"/>
                <w:sz w:val="22"/>
                <w:szCs w:val="22"/>
                <w:cs/>
                <w:lang w:val="en-GB"/>
              </w:rPr>
            </w:pPr>
            <w:r w:rsidRPr="00EE5480">
              <w:rPr>
                <w:rFonts w:ascii="Times New Roman" w:hAnsi="Times New Roman" w:cs="Times New Roman"/>
                <w:sz w:val="22"/>
                <w:szCs w:val="22"/>
                <w:lang w:val="en-GB" w:bidi="ar-SA"/>
              </w:rPr>
              <w:t>Joint-venture and associates of the Company incurred continuing operation</w:t>
            </w:r>
            <w:r>
              <w:rPr>
                <w:rFonts w:ascii="Times New Roman" w:hAnsi="Times New Roman" w:cs="Times New Roman"/>
                <w:sz w:val="22"/>
                <w:szCs w:val="22"/>
                <w:lang w:val="en-GB" w:bidi="ar-SA"/>
              </w:rPr>
              <w:t>al</w:t>
            </w:r>
            <w:r w:rsidRPr="00EE5480">
              <w:rPr>
                <w:rFonts w:ascii="Times New Roman" w:hAnsi="Times New Roman" w:cs="Times New Roman"/>
                <w:sz w:val="22"/>
                <w:szCs w:val="22"/>
                <w:lang w:val="en-GB" w:bidi="ar-SA"/>
              </w:rPr>
              <w:t xml:space="preserve"> loss. Management considered that this factor is an impairment indicator of investments in joint venture and associates in the separate financial statements.</w:t>
            </w:r>
          </w:p>
          <w:p w:rsidR="00620703" w:rsidRPr="00EE5480" w:rsidRDefault="00620703" w:rsidP="0079105F">
            <w:pPr>
              <w:pStyle w:val="Default"/>
              <w:jc w:val="thaiDistribute"/>
              <w:rPr>
                <w:rFonts w:ascii="Times New Roman" w:eastAsia="Times New Roman" w:hAnsi="Times New Roman" w:cs="Times New Roman"/>
                <w:color w:val="auto"/>
                <w:sz w:val="22"/>
                <w:szCs w:val="22"/>
                <w:lang w:val="en-GB" w:eastAsia="en-US" w:bidi="ar-SA"/>
              </w:rPr>
            </w:pPr>
          </w:p>
          <w:p w:rsidR="00620703" w:rsidRPr="00C12E3E" w:rsidRDefault="00620703" w:rsidP="0079105F">
            <w:pPr>
              <w:autoSpaceDE w:val="0"/>
              <w:autoSpaceDN w:val="0"/>
              <w:adjustRightInd w:val="0"/>
              <w:jc w:val="thaiDistribute"/>
              <w:rPr>
                <w:rFonts w:ascii="Times New Roman" w:hAnsi="Times New Roman" w:cs="Times New Roman"/>
                <w:sz w:val="22"/>
                <w:szCs w:val="22"/>
                <w:lang w:val="en-GB" w:bidi="ar-SA"/>
              </w:rPr>
            </w:pPr>
            <w:r w:rsidRPr="00EE5480">
              <w:rPr>
                <w:rFonts w:ascii="Times New Roman" w:hAnsi="Times New Roman" w:cs="Times New Roman"/>
                <w:sz w:val="22"/>
                <w:szCs w:val="22"/>
                <w:lang w:val="en-GB" w:bidi="ar-SA"/>
              </w:rPr>
              <w:t>In assessing an impairment of these investments, management is required to estimate the recoverable amount</w:t>
            </w:r>
            <w:r w:rsidRPr="00EE5480">
              <w:rPr>
                <w:rFonts w:ascii="Times New Roman" w:hAnsi="Times New Roman" w:cs="Times New Roman" w:hint="cs"/>
                <w:sz w:val="22"/>
                <w:szCs w:val="22"/>
                <w:cs/>
                <w:lang w:val="en-GB"/>
              </w:rPr>
              <w:t xml:space="preserve"> </w:t>
            </w:r>
            <w:r w:rsidRPr="00EE5480">
              <w:rPr>
                <w:rFonts w:ascii="Times New Roman" w:hAnsi="Times New Roman" w:cs="Times New Roman"/>
                <w:sz w:val="22"/>
                <w:szCs w:val="22"/>
                <w:lang w:val="en-GB" w:bidi="ar-SA"/>
              </w:rPr>
              <w:t>based on the value in use.  Those values were estimated by an independent valuer of joint-venture and associates of the Company using the discounted cash flow method. Significant management’s judgment was applied in determining key assumptions such as growth rate and discount rate. Additionally, there is an inherent uncertainty in estimating the future cash flows. Therefore, I considered this to be the key audit matter.</w:t>
            </w:r>
          </w:p>
        </w:tc>
        <w:tc>
          <w:tcPr>
            <w:tcW w:w="4675" w:type="dxa"/>
            <w:shd w:val="clear" w:color="auto" w:fill="auto"/>
          </w:tcPr>
          <w:p w:rsidR="00620703" w:rsidRPr="00C12E3E" w:rsidRDefault="00620703" w:rsidP="0079105F">
            <w:pPr>
              <w:jc w:val="thaiDistribute"/>
              <w:rPr>
                <w:rFonts w:ascii="Times New Roman" w:hAnsi="Times New Roman" w:cs="Times New Roman"/>
                <w:sz w:val="22"/>
                <w:szCs w:val="22"/>
                <w:lang w:val="en-GB" w:bidi="ar-SA"/>
              </w:rPr>
            </w:pPr>
          </w:p>
          <w:p w:rsidR="00620703" w:rsidRPr="00C12E3E" w:rsidRDefault="00620703" w:rsidP="0079105F">
            <w:pPr>
              <w:rPr>
                <w:rFonts w:ascii="Times New Roman" w:hAnsi="Times New Roman" w:cs="Times New Roman"/>
                <w:sz w:val="22"/>
                <w:szCs w:val="22"/>
                <w:lang w:val="en-GB" w:bidi="ar-SA"/>
              </w:rPr>
            </w:pPr>
            <w:r w:rsidRPr="00C12E3E">
              <w:rPr>
                <w:rFonts w:ascii="Times New Roman" w:hAnsi="Times New Roman" w:cs="Times New Roman"/>
                <w:sz w:val="22"/>
                <w:szCs w:val="22"/>
                <w:lang w:val="en-GB" w:bidi="ar-SA"/>
              </w:rPr>
              <w:t>My audit procedures included:</w:t>
            </w:r>
          </w:p>
          <w:p w:rsidR="00620703" w:rsidRPr="00C12E3E" w:rsidRDefault="00620703" w:rsidP="0079105F">
            <w:pPr>
              <w:rPr>
                <w:rFonts w:ascii="Times New Roman" w:hAnsi="Times New Roman" w:cs="Times New Roman"/>
                <w:sz w:val="22"/>
                <w:szCs w:val="22"/>
                <w:lang w:val="en-GB" w:bidi="ar-SA"/>
              </w:rPr>
            </w:pPr>
          </w:p>
          <w:p w:rsidR="00620703" w:rsidRPr="00C12E3E" w:rsidRDefault="00620703" w:rsidP="00620703">
            <w:pPr>
              <w:pStyle w:val="ListParagraph"/>
              <w:numPr>
                <w:ilvl w:val="0"/>
                <w:numId w:val="2"/>
              </w:numPr>
              <w:spacing w:line="240" w:lineRule="auto"/>
              <w:jc w:val="thaiDistribute"/>
              <w:rPr>
                <w:szCs w:val="22"/>
              </w:rPr>
            </w:pPr>
            <w:r w:rsidRPr="00C12E3E">
              <w:rPr>
                <w:szCs w:val="22"/>
              </w:rPr>
              <w:t>Inquired management and obtained a sample of related documents to understand the process by which management has identified the impairment indicators and the methodology applied in determining the recoverable amount of the investments;</w:t>
            </w:r>
          </w:p>
          <w:p w:rsidR="00620703" w:rsidRPr="00C12E3E" w:rsidRDefault="00620703" w:rsidP="00620703">
            <w:pPr>
              <w:pStyle w:val="ListParagraph"/>
              <w:numPr>
                <w:ilvl w:val="0"/>
                <w:numId w:val="2"/>
              </w:numPr>
              <w:spacing w:line="240" w:lineRule="auto"/>
              <w:rPr>
                <w:szCs w:val="22"/>
              </w:rPr>
            </w:pPr>
            <w:r w:rsidRPr="00C12E3E">
              <w:rPr>
                <w:szCs w:val="22"/>
              </w:rPr>
              <w:t>Evaluated the independence and competence of the independent valuer;</w:t>
            </w:r>
          </w:p>
          <w:p w:rsidR="00620703" w:rsidRPr="00C12E3E" w:rsidRDefault="00620703" w:rsidP="00620703">
            <w:pPr>
              <w:pStyle w:val="ListParagraph"/>
              <w:numPr>
                <w:ilvl w:val="0"/>
                <w:numId w:val="2"/>
              </w:numPr>
              <w:spacing w:line="240" w:lineRule="auto"/>
              <w:jc w:val="thaiDistribute"/>
              <w:rPr>
                <w:szCs w:val="22"/>
              </w:rPr>
            </w:pPr>
            <w:r w:rsidRPr="00C12E3E">
              <w:rPr>
                <w:szCs w:val="22"/>
              </w:rPr>
              <w:t>Evaluated the key assumptions based on internal and external information</w:t>
            </w:r>
            <w:r w:rsidRPr="00C12E3E">
              <w:rPr>
                <w:rFonts w:hint="cs"/>
                <w:szCs w:val="22"/>
                <w:rtl/>
                <w:cs/>
              </w:rPr>
              <w:t xml:space="preserve"> </w:t>
            </w:r>
            <w:r w:rsidRPr="00C12E3E">
              <w:rPr>
                <w:szCs w:val="22"/>
              </w:rPr>
              <w:t xml:space="preserve">and approaches used in estimating the cash flows; </w:t>
            </w:r>
          </w:p>
          <w:p w:rsidR="00620703" w:rsidRPr="00C12E3E" w:rsidRDefault="00620703" w:rsidP="00620703">
            <w:pPr>
              <w:pStyle w:val="ListParagraph"/>
              <w:numPr>
                <w:ilvl w:val="0"/>
                <w:numId w:val="2"/>
              </w:numPr>
              <w:spacing w:line="240" w:lineRule="auto"/>
              <w:ind w:right="70"/>
              <w:jc w:val="thaiDistribute"/>
              <w:rPr>
                <w:szCs w:val="22"/>
              </w:rPr>
            </w:pPr>
            <w:r w:rsidRPr="00C12E3E">
              <w:rPr>
                <w:szCs w:val="22"/>
              </w:rPr>
              <w:t>Tested mathematical accuracy of the cash flows projection</w:t>
            </w:r>
            <w:r>
              <w:rPr>
                <w:szCs w:val="22"/>
              </w:rPr>
              <w:t>;</w:t>
            </w:r>
          </w:p>
          <w:p w:rsidR="00620703" w:rsidRPr="00C12E3E" w:rsidRDefault="00620703" w:rsidP="00620703">
            <w:pPr>
              <w:pStyle w:val="ListParagraph"/>
              <w:numPr>
                <w:ilvl w:val="0"/>
                <w:numId w:val="2"/>
              </w:numPr>
              <w:spacing w:line="240" w:lineRule="auto"/>
              <w:jc w:val="thaiDistribute"/>
              <w:rPr>
                <w:szCs w:val="22"/>
              </w:rPr>
            </w:pPr>
            <w:r w:rsidRPr="00C12E3E">
              <w:rPr>
                <w:szCs w:val="22"/>
              </w:rPr>
              <w:t>Performed retrospective review by comparing estimated cash flows prepared by the independence valuer in the previous year against the actual financial performance;</w:t>
            </w:r>
          </w:p>
          <w:p w:rsidR="00620703" w:rsidRPr="00C12E3E" w:rsidRDefault="00620703" w:rsidP="00620703">
            <w:pPr>
              <w:pStyle w:val="ListParagraph"/>
              <w:numPr>
                <w:ilvl w:val="0"/>
                <w:numId w:val="2"/>
              </w:numPr>
              <w:spacing w:line="240" w:lineRule="auto"/>
              <w:ind w:right="72"/>
              <w:jc w:val="thaiDistribute"/>
              <w:rPr>
                <w:szCs w:val="22"/>
              </w:rPr>
            </w:pPr>
            <w:r w:rsidRPr="00C12E3E">
              <w:rPr>
                <w:szCs w:val="22"/>
              </w:rPr>
              <w:t>Performed sensitivity analysis of key assumptions such as growth rate and discount rate;</w:t>
            </w:r>
          </w:p>
          <w:p w:rsidR="00620703" w:rsidRPr="00C12E3E" w:rsidRDefault="00620703" w:rsidP="00620703">
            <w:pPr>
              <w:pStyle w:val="ListParagraph"/>
              <w:numPr>
                <w:ilvl w:val="0"/>
                <w:numId w:val="2"/>
              </w:numPr>
              <w:spacing w:line="240" w:lineRule="auto"/>
              <w:ind w:right="70"/>
              <w:jc w:val="thaiDistribute"/>
              <w:rPr>
                <w:szCs w:val="22"/>
              </w:rPr>
            </w:pPr>
            <w:r w:rsidRPr="00C12E3E">
              <w:rPr>
                <w:szCs w:val="22"/>
              </w:rPr>
              <w:t xml:space="preserve">Considered the disclosures in accordance with the Thai Financial Reporting Standards. </w:t>
            </w:r>
          </w:p>
          <w:p w:rsidR="00620703" w:rsidRPr="00C12E3E" w:rsidRDefault="00620703" w:rsidP="0079105F">
            <w:pPr>
              <w:jc w:val="thaiDistribute"/>
              <w:rPr>
                <w:rFonts w:ascii="Times New Roman" w:hAnsi="Times New Roman" w:cs="Times New Roman"/>
                <w:sz w:val="22"/>
                <w:szCs w:val="22"/>
                <w:lang w:val="en-GB" w:bidi="ar-SA"/>
              </w:rPr>
            </w:pPr>
          </w:p>
        </w:tc>
      </w:tr>
    </w:tbl>
    <w:p w:rsidR="00620703" w:rsidRDefault="00620703" w:rsidP="00620703">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imes New Roman"/>
        </w:rPr>
      </w:pPr>
    </w:p>
    <w:p w:rsidR="00620703" w:rsidRPr="007F0CF6"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Batang" w:hAnsi="Times New Roman" w:cs="Times New Roman"/>
          <w:i/>
          <w:iCs/>
          <w:color w:val="000000"/>
          <w:sz w:val="22"/>
          <w:szCs w:val="22"/>
          <w:lang w:eastAsia="ko-KR"/>
        </w:rPr>
      </w:pPr>
      <w:r w:rsidRPr="00ED524D">
        <w:rPr>
          <w:rFonts w:ascii="Times New Roman" w:hAnsi="Times New Roman" w:cs="Times New Roman"/>
          <w:i/>
          <w:iCs/>
          <w:sz w:val="22"/>
          <w:szCs w:val="22"/>
        </w:rPr>
        <w:t>Emphasis of Matters</w:t>
      </w:r>
    </w:p>
    <w:p w:rsidR="00620703" w:rsidRPr="00337A46" w:rsidRDefault="00620703" w:rsidP="00620703">
      <w:pPr>
        <w:jc w:val="both"/>
        <w:rPr>
          <w:sz w:val="22"/>
        </w:rPr>
      </w:pPr>
    </w:p>
    <w:p w:rsidR="00620703" w:rsidRPr="00ED524D" w:rsidRDefault="00620703" w:rsidP="00620703">
      <w:pPr>
        <w:jc w:val="both"/>
        <w:rPr>
          <w:rFonts w:ascii="Times New Roman" w:hAnsi="Times New Roman" w:cs="Times New Roman"/>
          <w:sz w:val="22"/>
          <w:szCs w:val="22"/>
          <w:lang w:val="en-GB" w:bidi="ar-SA"/>
        </w:rPr>
      </w:pPr>
      <w:r w:rsidRPr="00ED524D">
        <w:rPr>
          <w:rFonts w:ascii="Times New Roman" w:hAnsi="Times New Roman" w:cs="Times New Roman"/>
          <w:sz w:val="22"/>
          <w:szCs w:val="22"/>
          <w:lang w:val="en-GB" w:bidi="ar-SA"/>
        </w:rPr>
        <w:t xml:space="preserve">I draw attention to </w:t>
      </w:r>
      <w:r>
        <w:rPr>
          <w:rFonts w:ascii="Times New Roman" w:hAnsi="Times New Roman" w:cs="Times New Roman"/>
          <w:sz w:val="22"/>
          <w:szCs w:val="22"/>
          <w:lang w:val="en-GB" w:bidi="ar-SA"/>
        </w:rPr>
        <w:t>N</w:t>
      </w:r>
      <w:r w:rsidRPr="00ED524D">
        <w:rPr>
          <w:rFonts w:ascii="Times New Roman" w:hAnsi="Times New Roman" w:cs="Times New Roman"/>
          <w:sz w:val="22"/>
          <w:szCs w:val="22"/>
          <w:lang w:val="en-GB" w:bidi="ar-SA"/>
        </w:rPr>
        <w:t xml:space="preserve">ote </w:t>
      </w:r>
      <w:r w:rsidRPr="007F0CF6">
        <w:rPr>
          <w:rFonts w:ascii="Times New Roman" w:hAnsi="Times New Roman" w:cs="Times New Roman"/>
          <w:sz w:val="22"/>
          <w:szCs w:val="22"/>
          <w:lang w:val="en-GB" w:bidi="ar-SA"/>
        </w:rPr>
        <w:t>3</w:t>
      </w:r>
      <w:r w:rsidRPr="00ED524D">
        <w:rPr>
          <w:rFonts w:ascii="Times New Roman" w:hAnsi="Times New Roman" w:cs="Times New Roman"/>
          <w:sz w:val="22"/>
          <w:szCs w:val="22"/>
          <w:lang w:val="en-GB" w:bidi="ar-SA"/>
        </w:rPr>
        <w:t xml:space="preserve"> to the financial </w:t>
      </w:r>
      <w:r>
        <w:rPr>
          <w:rFonts w:ascii="Times New Roman" w:hAnsi="Times New Roman" w:cs="Times New Roman"/>
          <w:sz w:val="22"/>
          <w:szCs w:val="22"/>
          <w:lang w:val="en-GB" w:bidi="ar-SA"/>
        </w:rPr>
        <w:t>statements</w:t>
      </w:r>
      <w:r w:rsidRPr="00ED524D">
        <w:rPr>
          <w:rFonts w:ascii="Times New Roman" w:hAnsi="Times New Roman" w:cs="Times New Roman"/>
          <w:sz w:val="22"/>
          <w:szCs w:val="22"/>
          <w:lang w:val="en-GB" w:bidi="ar-SA"/>
        </w:rPr>
        <w:t xml:space="preserve"> which describes the impact of the following matters:</w:t>
      </w:r>
    </w:p>
    <w:p w:rsidR="00620703" w:rsidRPr="00F729BC" w:rsidRDefault="00620703" w:rsidP="00620703">
      <w:pPr>
        <w:ind w:left="-540"/>
        <w:jc w:val="both"/>
        <w:rPr>
          <w:sz w:val="22"/>
          <w:szCs w:val="22"/>
        </w:rPr>
      </w:pPr>
    </w:p>
    <w:p w:rsidR="00620703" w:rsidRPr="00F729BC" w:rsidRDefault="00620703" w:rsidP="00620703">
      <w:pPr>
        <w:pStyle w:val="ListParagraph"/>
        <w:ind w:left="0"/>
        <w:jc w:val="both"/>
      </w:pPr>
      <w:r w:rsidRPr="00F729BC">
        <w:rPr>
          <w:szCs w:val="22"/>
        </w:rPr>
        <w:t xml:space="preserve">- </w:t>
      </w:r>
      <w:r>
        <w:rPr>
          <w:szCs w:val="22"/>
        </w:rPr>
        <w:t xml:space="preserve"> </w:t>
      </w:r>
      <w:r w:rsidRPr="00F729BC">
        <w:rPr>
          <w:szCs w:val="22"/>
        </w:rPr>
        <w:t xml:space="preserve">The adoption of certain new accounting policies from 1 April 2020. </w:t>
      </w:r>
    </w:p>
    <w:p w:rsidR="00620703" w:rsidRDefault="00620703" w:rsidP="00620703">
      <w:pPr>
        <w:pStyle w:val="ListParagraph"/>
        <w:ind w:left="180" w:hanging="180"/>
        <w:jc w:val="both"/>
        <w:rPr>
          <w:szCs w:val="22"/>
        </w:rPr>
      </w:pPr>
      <w:r>
        <w:rPr>
          <w:szCs w:val="22"/>
        </w:rPr>
        <w:t xml:space="preserve">-  </w:t>
      </w:r>
      <w:r w:rsidRPr="00ED524D">
        <w:rPr>
          <w:szCs w:val="22"/>
        </w:rPr>
        <w:t xml:space="preserve">The </w:t>
      </w:r>
      <w:r>
        <w:rPr>
          <w:szCs w:val="22"/>
        </w:rPr>
        <w:t xml:space="preserve">retrospective </w:t>
      </w:r>
      <w:r w:rsidRPr="00ED524D">
        <w:rPr>
          <w:rFonts w:cs="Angsana New"/>
        </w:rPr>
        <w:t>adjustment</w:t>
      </w:r>
      <w:r w:rsidRPr="00ED524D">
        <w:rPr>
          <w:szCs w:val="22"/>
        </w:rPr>
        <w:t xml:space="preserve"> of</w:t>
      </w:r>
      <w:r w:rsidRPr="00B67D92">
        <w:rPr>
          <w:szCs w:val="22"/>
        </w:rPr>
        <w:t xml:space="preserve"> the carrying value of investment in Thai Polyphosphate &amp; Chemicals Company</w:t>
      </w:r>
      <w:r>
        <w:rPr>
          <w:szCs w:val="22"/>
        </w:rPr>
        <w:t xml:space="preserve"> </w:t>
      </w:r>
      <w:r w:rsidRPr="00B67D92">
        <w:rPr>
          <w:szCs w:val="22"/>
        </w:rPr>
        <w:t>Limited which are included in investments in associates presented in the statement of financial position in which the equity method is applied as at 31 March 2020 and the statement of income</w:t>
      </w:r>
      <w:r w:rsidRPr="00B67D92">
        <w:rPr>
          <w:rFonts w:hint="cs"/>
          <w:szCs w:val="22"/>
          <w:rtl/>
          <w:cs/>
        </w:rPr>
        <w:t xml:space="preserve"> </w:t>
      </w:r>
      <w:r w:rsidRPr="00B67D92">
        <w:rPr>
          <w:szCs w:val="22"/>
        </w:rPr>
        <w:t xml:space="preserve">in which the equity method is applied for </w:t>
      </w:r>
      <w:r>
        <w:rPr>
          <w:szCs w:val="22"/>
        </w:rPr>
        <w:t xml:space="preserve">the year then ended </w:t>
      </w:r>
      <w:r w:rsidRPr="00B67D92">
        <w:rPr>
          <w:szCs w:val="22"/>
        </w:rPr>
        <w:t xml:space="preserve">which are included as comparative information </w:t>
      </w:r>
      <w:r>
        <w:rPr>
          <w:szCs w:val="22"/>
        </w:rPr>
        <w:t xml:space="preserve">and </w:t>
      </w:r>
      <w:r w:rsidRPr="00B67D92">
        <w:rPr>
          <w:szCs w:val="22"/>
        </w:rPr>
        <w:t>are components of the financial statements which were audited</w:t>
      </w:r>
      <w:r>
        <w:rPr>
          <w:szCs w:val="22"/>
        </w:rPr>
        <w:t xml:space="preserve"> </w:t>
      </w:r>
      <w:r w:rsidRPr="00B67D92">
        <w:rPr>
          <w:szCs w:val="22"/>
        </w:rPr>
        <w:t>by another auditor</w:t>
      </w:r>
      <w:r>
        <w:rPr>
          <w:szCs w:val="22"/>
        </w:rPr>
        <w:t xml:space="preserve"> who expressed a qualified opinion </w:t>
      </w:r>
      <w:r w:rsidRPr="00B67D92">
        <w:rPr>
          <w:szCs w:val="22"/>
        </w:rPr>
        <w:t>as described in Other Matters.</w:t>
      </w:r>
    </w:p>
    <w:p w:rsidR="00620703" w:rsidRDefault="00620703" w:rsidP="00620703">
      <w:pPr>
        <w:jc w:val="both"/>
        <w:rPr>
          <w:rFonts w:ascii="Times New Roman" w:hAnsi="Times New Roman" w:cs="Times New Roman"/>
          <w:sz w:val="22"/>
          <w:szCs w:val="22"/>
          <w:lang w:val="en-GB" w:bidi="ar-SA"/>
        </w:rPr>
      </w:pPr>
    </w:p>
    <w:p w:rsidR="00620703" w:rsidRPr="00F718C1" w:rsidRDefault="00620703" w:rsidP="00620703">
      <w:pPr>
        <w:jc w:val="both"/>
        <w:rPr>
          <w:sz w:val="22"/>
          <w:szCs w:val="22"/>
        </w:rPr>
      </w:pPr>
      <w:r w:rsidRPr="00ED524D">
        <w:rPr>
          <w:rFonts w:ascii="Times New Roman" w:hAnsi="Times New Roman" w:cs="Times New Roman"/>
          <w:sz w:val="22"/>
          <w:szCs w:val="22"/>
          <w:lang w:val="en-GB" w:bidi="ar-SA"/>
        </w:rPr>
        <w:t xml:space="preserve">My </w:t>
      </w:r>
      <w:r>
        <w:rPr>
          <w:rFonts w:ascii="Times New Roman" w:hAnsi="Times New Roman" w:cs="Times New Roman"/>
          <w:sz w:val="22"/>
          <w:szCs w:val="22"/>
          <w:lang w:val="en-GB" w:bidi="ar-SA"/>
        </w:rPr>
        <w:t>opinion</w:t>
      </w:r>
      <w:r w:rsidRPr="00ED524D">
        <w:rPr>
          <w:rFonts w:ascii="Times New Roman" w:hAnsi="Times New Roman" w:cs="Times New Roman"/>
          <w:sz w:val="22"/>
          <w:szCs w:val="22"/>
          <w:lang w:val="en-GB" w:bidi="ar-SA"/>
        </w:rPr>
        <w:t xml:space="preserve"> is not modified in respect of these matters.</w:t>
      </w:r>
    </w:p>
    <w:p w:rsidR="00620703" w:rsidRPr="007F0CF6"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Batang" w:hAnsi="Times New Roman" w:cs="Times New Roman"/>
          <w:i/>
          <w:iCs/>
          <w:color w:val="000000"/>
          <w:sz w:val="22"/>
          <w:szCs w:val="22"/>
          <w:lang w:eastAsia="ko-KR"/>
        </w:rPr>
      </w:pPr>
      <w:r>
        <w:rPr>
          <w:rFonts w:ascii="Times New Roman" w:hAnsi="Times New Roman" w:cs="Times New Roman"/>
          <w:i/>
          <w:iCs/>
          <w:sz w:val="22"/>
          <w:szCs w:val="22"/>
        </w:rPr>
        <w:br w:type="page"/>
      </w:r>
      <w:r w:rsidRPr="00ED524D">
        <w:rPr>
          <w:rFonts w:ascii="Times New Roman" w:hAnsi="Times New Roman" w:cs="Times New Roman"/>
          <w:i/>
          <w:iCs/>
          <w:sz w:val="22"/>
          <w:szCs w:val="22"/>
        </w:rPr>
        <w:lastRenderedPageBreak/>
        <w:t>Other Matters</w:t>
      </w:r>
    </w:p>
    <w:p w:rsidR="00620703" w:rsidRPr="003B2993" w:rsidRDefault="00620703" w:rsidP="00620703">
      <w:pPr>
        <w:ind w:left="-540"/>
        <w:jc w:val="both"/>
        <w:rPr>
          <w:sz w:val="22"/>
        </w:rPr>
      </w:pPr>
    </w:p>
    <w:p w:rsidR="00620703" w:rsidRPr="00ED524D" w:rsidRDefault="00620703" w:rsidP="00620703">
      <w:pPr>
        <w:jc w:val="both"/>
        <w:rPr>
          <w:rFonts w:ascii="Times New Roman" w:hAnsi="Times New Roman" w:cs="Times New Roman"/>
          <w:sz w:val="22"/>
          <w:szCs w:val="22"/>
          <w:lang w:val="en-GB" w:bidi="ar-SA"/>
        </w:rPr>
      </w:pPr>
      <w:r w:rsidRPr="00ED524D">
        <w:rPr>
          <w:rFonts w:ascii="Times New Roman" w:hAnsi="Times New Roman" w:cs="Times New Roman"/>
          <w:sz w:val="22"/>
          <w:szCs w:val="22"/>
          <w:lang w:val="en-GB" w:bidi="ar-SA"/>
        </w:rPr>
        <w:t xml:space="preserve">The </w:t>
      </w:r>
      <w:r>
        <w:rPr>
          <w:rFonts w:ascii="Times New Roman" w:hAnsi="Times New Roman"/>
          <w:sz w:val="22"/>
          <w:szCs w:val="28"/>
        </w:rPr>
        <w:t>financial statements</w:t>
      </w:r>
      <w:r w:rsidRPr="00ED524D">
        <w:rPr>
          <w:rFonts w:ascii="Times New Roman" w:hAnsi="Times New Roman" w:cs="Times New Roman"/>
          <w:sz w:val="22"/>
          <w:szCs w:val="22"/>
          <w:lang w:val="en-GB" w:bidi="ar-SA"/>
        </w:rPr>
        <w:t xml:space="preserve"> in which the equity method is applied and separate </w:t>
      </w:r>
      <w:r>
        <w:rPr>
          <w:rFonts w:ascii="Times New Roman" w:hAnsi="Times New Roman" w:cs="Times New Roman"/>
          <w:sz w:val="22"/>
          <w:szCs w:val="22"/>
          <w:lang w:val="en-GB" w:bidi="ar-SA"/>
        </w:rPr>
        <w:t xml:space="preserve">financial </w:t>
      </w:r>
      <w:r w:rsidRPr="00ED524D">
        <w:rPr>
          <w:rFonts w:ascii="Times New Roman" w:hAnsi="Times New Roman" w:cs="Times New Roman"/>
          <w:sz w:val="22"/>
          <w:szCs w:val="22"/>
          <w:lang w:val="en-GB" w:bidi="ar-SA"/>
        </w:rPr>
        <w:t>statement</w:t>
      </w:r>
      <w:r>
        <w:rPr>
          <w:rFonts w:ascii="Times New Roman" w:hAnsi="Times New Roman" w:cs="Times New Roman"/>
          <w:sz w:val="22"/>
          <w:szCs w:val="22"/>
          <w:lang w:val="en-GB" w:bidi="ar-SA"/>
        </w:rPr>
        <w:t xml:space="preserve">s </w:t>
      </w:r>
      <w:r w:rsidRPr="00ED524D">
        <w:rPr>
          <w:rFonts w:ascii="Times New Roman" w:hAnsi="Times New Roman" w:cs="Times New Roman"/>
          <w:sz w:val="22"/>
          <w:szCs w:val="22"/>
          <w:lang w:val="en-GB" w:bidi="ar-SA"/>
        </w:rPr>
        <w:t xml:space="preserve">of Thai Rayon Public Company Limited </w:t>
      </w:r>
      <w:r>
        <w:rPr>
          <w:rFonts w:ascii="Times New Roman" w:hAnsi="Times New Roman" w:cs="Times New Roman"/>
          <w:sz w:val="22"/>
          <w:szCs w:val="22"/>
          <w:lang w:val="en-GB" w:bidi="ar-SA"/>
        </w:rPr>
        <w:t>for the year ended</w:t>
      </w:r>
      <w:r w:rsidRPr="00ED524D">
        <w:rPr>
          <w:rFonts w:ascii="Times New Roman" w:hAnsi="Times New Roman" w:cs="Times New Roman"/>
          <w:sz w:val="22"/>
          <w:szCs w:val="22"/>
          <w:lang w:val="en-GB" w:bidi="ar-SA"/>
        </w:rPr>
        <w:t xml:space="preserve"> 31 March 2020 which are included as comparative information, were audited by another auditor who expressed a qualified opinion thereon</w:t>
      </w:r>
      <w:r>
        <w:rPr>
          <w:rFonts w:ascii="Times New Roman" w:hAnsi="Times New Roman" w:cs="Times New Roman"/>
          <w:sz w:val="22"/>
          <w:szCs w:val="22"/>
          <w:lang w:val="en-GB" w:bidi="ar-SA"/>
        </w:rPr>
        <w:t xml:space="preserve"> on t</w:t>
      </w:r>
      <w:r w:rsidRPr="00ED524D">
        <w:rPr>
          <w:rFonts w:ascii="Times New Roman" w:hAnsi="Times New Roman" w:cs="Times New Roman"/>
          <w:sz w:val="22"/>
          <w:szCs w:val="22"/>
          <w:lang w:val="en-GB" w:bidi="ar-SA"/>
        </w:rPr>
        <w:t xml:space="preserve">he </w:t>
      </w:r>
      <w:r>
        <w:rPr>
          <w:rFonts w:ascii="Times New Roman" w:hAnsi="Times New Roman"/>
          <w:sz w:val="22"/>
          <w:szCs w:val="28"/>
        </w:rPr>
        <w:t>financial statements</w:t>
      </w:r>
      <w:r w:rsidRPr="00ED524D">
        <w:rPr>
          <w:rFonts w:ascii="Times New Roman" w:hAnsi="Times New Roman" w:cs="Times New Roman"/>
          <w:sz w:val="22"/>
          <w:szCs w:val="22"/>
          <w:lang w:val="en-GB" w:bidi="ar-SA"/>
        </w:rPr>
        <w:t xml:space="preserve"> in which the equity method is applied in her report dated 26 June 2020 for the inability to obtain sufficient appropriate audit evidence on the value of investments in associates under the equity method </w:t>
      </w:r>
      <w:r>
        <w:rPr>
          <w:rFonts w:ascii="Times New Roman" w:hAnsi="Times New Roman" w:cs="Times New Roman"/>
          <w:sz w:val="22"/>
          <w:szCs w:val="22"/>
          <w:lang w:val="en-GB" w:bidi="ar-SA"/>
        </w:rPr>
        <w:t>and</w:t>
      </w:r>
      <w:r w:rsidRPr="00ED524D">
        <w:rPr>
          <w:rFonts w:ascii="Times New Roman" w:hAnsi="Times New Roman" w:cs="Times New Roman"/>
          <w:sz w:val="22"/>
          <w:szCs w:val="22"/>
          <w:lang w:val="en-GB" w:bidi="ar-SA"/>
        </w:rPr>
        <w:t xml:space="preserve"> share of </w:t>
      </w:r>
      <w:r>
        <w:rPr>
          <w:rFonts w:ascii="Times New Roman" w:hAnsi="Times New Roman" w:cs="Times New Roman"/>
          <w:sz w:val="22"/>
          <w:szCs w:val="22"/>
          <w:lang w:val="en-GB" w:bidi="ar-SA"/>
        </w:rPr>
        <w:t>profit</w:t>
      </w:r>
      <w:r w:rsidRPr="00ED524D">
        <w:rPr>
          <w:rFonts w:ascii="Times New Roman" w:hAnsi="Times New Roman" w:cs="Times New Roman"/>
          <w:sz w:val="22"/>
          <w:szCs w:val="22"/>
          <w:lang w:val="en-GB" w:bidi="ar-SA"/>
        </w:rPr>
        <w:t xml:space="preserve"> of associates namely, Aditya Birla Chemicals (Thailand) Limited (“ABCT”), Birla Carbon (Thailand) Public Company Limited (“BCT”) and Thai Polyphosphate &amp; Chemicals Company Limited (“TPC”) (in which the Company holds 29.98%, 24.98% and 49.00% interests, respectively), amounting to Baht 4,255 million, Baht 5,018 million and Baht 3,354 million, respectively</w:t>
      </w:r>
      <w:r>
        <w:rPr>
          <w:rFonts w:ascii="Times New Roman" w:hAnsi="Times New Roman" w:cs="Times New Roman"/>
          <w:sz w:val="22"/>
          <w:szCs w:val="22"/>
          <w:lang w:val="en-GB" w:bidi="ar-SA"/>
        </w:rPr>
        <w:t xml:space="preserve">. </w:t>
      </w:r>
    </w:p>
    <w:p w:rsidR="00620703" w:rsidRPr="00ED524D" w:rsidRDefault="00620703" w:rsidP="00620703">
      <w:pPr>
        <w:jc w:val="both"/>
        <w:rPr>
          <w:rFonts w:ascii="Times New Roman" w:hAnsi="Times New Roman" w:cs="Times New Roman"/>
          <w:sz w:val="22"/>
          <w:szCs w:val="22"/>
          <w:lang w:val="en-GB" w:bidi="ar-SA"/>
        </w:rPr>
      </w:pPr>
    </w:p>
    <w:p w:rsidR="00620703" w:rsidRPr="00ED524D" w:rsidRDefault="00620703" w:rsidP="00620703">
      <w:pPr>
        <w:jc w:val="both"/>
        <w:rPr>
          <w:rFonts w:ascii="Times New Roman" w:hAnsi="Times New Roman" w:cs="Times New Roman"/>
          <w:sz w:val="22"/>
          <w:szCs w:val="22"/>
          <w:lang w:val="en-GB" w:bidi="ar-SA"/>
        </w:rPr>
      </w:pPr>
      <w:r w:rsidRPr="00ED524D">
        <w:rPr>
          <w:rFonts w:ascii="Times New Roman" w:hAnsi="Times New Roman" w:cs="Times New Roman"/>
          <w:sz w:val="22"/>
          <w:szCs w:val="22"/>
          <w:lang w:val="en-GB" w:bidi="ar-SA"/>
        </w:rPr>
        <w:t>Nevertheless, the auditor of ABCT expressed an unqualified opinion in his audit report dated 13 August 2020 on the financial statements for the year ended 31 March 2020 and the auditor of BCT expressed an unqualified opinion in her auditor’s report dated 29 May 2020 on the financial statements for the year ended 31 March 2020. As a consequence, and after further communication with the auditors of ABCT and BCT, I am able to conclude that no adjustments are necessary to the carrying amount of the investments accounted for using equity method</w:t>
      </w:r>
      <w:r w:rsidRPr="00070AA4">
        <w:rPr>
          <w:rFonts w:ascii="Times New Roman" w:hAnsi="Times New Roman" w:cs="Times New Roman"/>
          <w:sz w:val="22"/>
          <w:szCs w:val="22"/>
          <w:lang w:val="en-GB" w:bidi="ar-SA"/>
        </w:rPr>
        <w:t xml:space="preserve"> </w:t>
      </w:r>
      <w:r>
        <w:rPr>
          <w:rFonts w:ascii="Times New Roman" w:hAnsi="Times New Roman" w:cs="Times New Roman"/>
          <w:sz w:val="22"/>
          <w:szCs w:val="22"/>
          <w:lang w:val="en-GB" w:bidi="ar-SA"/>
        </w:rPr>
        <w:t>and</w:t>
      </w:r>
      <w:r w:rsidRPr="00ED524D">
        <w:rPr>
          <w:rFonts w:ascii="Times New Roman" w:hAnsi="Times New Roman" w:cs="Times New Roman"/>
          <w:sz w:val="22"/>
          <w:szCs w:val="22"/>
          <w:lang w:val="en-GB" w:bidi="ar-SA"/>
        </w:rPr>
        <w:t xml:space="preserve"> share of </w:t>
      </w:r>
      <w:r>
        <w:rPr>
          <w:rFonts w:ascii="Times New Roman" w:hAnsi="Times New Roman" w:cs="Times New Roman"/>
          <w:sz w:val="22"/>
          <w:szCs w:val="22"/>
          <w:lang w:val="en-GB" w:bidi="ar-SA"/>
        </w:rPr>
        <w:t>profit</w:t>
      </w:r>
      <w:r w:rsidRPr="00ED524D">
        <w:rPr>
          <w:rFonts w:ascii="Times New Roman" w:hAnsi="Times New Roman" w:cs="Times New Roman"/>
          <w:sz w:val="22"/>
          <w:szCs w:val="22"/>
          <w:lang w:val="en-GB" w:bidi="ar-SA"/>
        </w:rPr>
        <w:t xml:space="preserve"> of associates in these two associates as at </w:t>
      </w:r>
      <w:r>
        <w:rPr>
          <w:rFonts w:ascii="Times New Roman" w:hAnsi="Times New Roman" w:cs="Times New Roman"/>
          <w:sz w:val="22"/>
          <w:szCs w:val="22"/>
          <w:lang w:val="en-GB" w:bidi="ar-SA"/>
        </w:rPr>
        <w:t xml:space="preserve">and for the year ended </w:t>
      </w:r>
      <w:r w:rsidRPr="00ED524D">
        <w:rPr>
          <w:rFonts w:ascii="Times New Roman" w:hAnsi="Times New Roman" w:cs="Times New Roman"/>
          <w:sz w:val="22"/>
          <w:szCs w:val="22"/>
          <w:lang w:val="en-GB" w:bidi="ar-SA"/>
        </w:rPr>
        <w:t>31 March 2020</w:t>
      </w:r>
      <w:r>
        <w:rPr>
          <w:rFonts w:ascii="Times New Roman" w:hAnsi="Times New Roman" w:cs="Times New Roman"/>
          <w:sz w:val="22"/>
          <w:szCs w:val="22"/>
          <w:lang w:val="en-GB" w:bidi="ar-SA"/>
        </w:rPr>
        <w:t>.</w:t>
      </w:r>
    </w:p>
    <w:p w:rsidR="00620703" w:rsidRPr="00656EDD" w:rsidRDefault="00620703" w:rsidP="00620703">
      <w:pPr>
        <w:jc w:val="both"/>
        <w:rPr>
          <w:szCs w:val="22"/>
        </w:rPr>
      </w:pPr>
    </w:p>
    <w:p w:rsidR="00620703" w:rsidRPr="00C12E3E" w:rsidRDefault="00620703" w:rsidP="00620703">
      <w:pPr>
        <w:jc w:val="both"/>
        <w:rPr>
          <w:rFonts w:ascii="Times New Roman" w:hAnsi="Times New Roman" w:cs="Times New Roman"/>
          <w:sz w:val="22"/>
          <w:szCs w:val="22"/>
          <w:lang w:val="en-GB" w:bidi="ar-SA"/>
        </w:rPr>
      </w:pPr>
      <w:r w:rsidRPr="00EE5480">
        <w:rPr>
          <w:rFonts w:ascii="Times New Roman" w:hAnsi="Times New Roman" w:cs="Times New Roman"/>
          <w:sz w:val="22"/>
          <w:szCs w:val="22"/>
          <w:lang w:val="en-GB" w:bidi="ar-SA"/>
        </w:rPr>
        <w:t>For an investment in another associate, Thai Polyphosphate &amp; Chemicals Company Limited, I was able to perform other audit procedures to satisfy myself regarding the carrying value of investment in this associate, share of profit and exchange differences on translating financial statements from this associate accounted for using the equity method</w:t>
      </w:r>
      <w:r>
        <w:rPr>
          <w:rFonts w:ascii="Times New Roman" w:hAnsi="Times New Roman" w:cs="Times New Roman"/>
          <w:sz w:val="22"/>
          <w:szCs w:val="22"/>
          <w:lang w:val="en-GB" w:bidi="ar-SA"/>
        </w:rPr>
        <w:t xml:space="preserve"> as at and for the year ended 31 March 2020</w:t>
      </w:r>
      <w:r w:rsidRPr="00EE5480">
        <w:rPr>
          <w:rFonts w:ascii="Times New Roman" w:hAnsi="Times New Roman" w:cs="Times New Roman"/>
          <w:sz w:val="22"/>
          <w:szCs w:val="22"/>
          <w:lang w:val="en-GB" w:bidi="ar-SA"/>
        </w:rPr>
        <w:t xml:space="preserve"> and concluded that adjustments are necessary to the carrying amount of the investments in this associate as described in note 3 to the financial statements.</w:t>
      </w:r>
    </w:p>
    <w:p w:rsidR="00620703" w:rsidRDefault="00620703" w:rsidP="00620703">
      <w:pPr>
        <w:pStyle w:val="Default"/>
        <w:rPr>
          <w:rFonts w:ascii="Times New Roman" w:hAnsi="Times New Roman" w:cs="Times New Roman"/>
          <w:i/>
          <w:iCs/>
          <w:sz w:val="22"/>
          <w:szCs w:val="22"/>
        </w:rPr>
      </w:pPr>
    </w:p>
    <w:p w:rsidR="00620703" w:rsidRPr="00EF6257" w:rsidRDefault="00620703" w:rsidP="00620703">
      <w:pPr>
        <w:pStyle w:val="Default"/>
        <w:rPr>
          <w:rFonts w:ascii="Times New Roman" w:hAnsi="Times New Roman" w:cs="Times New Roman"/>
          <w:i/>
          <w:iCs/>
          <w:sz w:val="22"/>
          <w:szCs w:val="22"/>
        </w:rPr>
      </w:pPr>
      <w:r w:rsidRPr="00EF6257">
        <w:rPr>
          <w:rFonts w:ascii="Times New Roman" w:hAnsi="Times New Roman" w:cs="Times New Roman"/>
          <w:i/>
          <w:iCs/>
          <w:sz w:val="22"/>
          <w:szCs w:val="22"/>
        </w:rPr>
        <w:t>Other Information</w:t>
      </w:r>
    </w:p>
    <w:p w:rsidR="00620703" w:rsidRDefault="00620703" w:rsidP="00620703">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imes New Roman"/>
        </w:rPr>
      </w:pPr>
    </w:p>
    <w:p w:rsidR="00620703" w:rsidRPr="00B25728" w:rsidRDefault="00620703" w:rsidP="00620703">
      <w:pPr>
        <w:pStyle w:val="Default"/>
        <w:jc w:val="both"/>
        <w:rPr>
          <w:rFonts w:ascii="Times New Roman" w:eastAsia="Times New Roman" w:hAnsi="Times New Roman" w:cs="Times New Roman"/>
          <w:color w:val="auto"/>
          <w:sz w:val="22"/>
          <w:szCs w:val="22"/>
          <w:lang w:eastAsia="en-US"/>
        </w:rPr>
      </w:pPr>
      <w:r w:rsidRPr="00B25728">
        <w:rPr>
          <w:rFonts w:ascii="Times New Roman" w:eastAsia="Times New Roman" w:hAnsi="Times New Roman" w:cs="Times New Roman"/>
          <w:color w:val="auto"/>
          <w:sz w:val="22"/>
          <w:szCs w:val="22"/>
          <w:lang w:eastAsia="en-US"/>
        </w:rPr>
        <w:t>Management is responsible for the other information. The other information comprises the information included in the annual report</w:t>
      </w:r>
      <w:r>
        <w:rPr>
          <w:rFonts w:ascii="Times New Roman" w:eastAsia="Times New Roman" w:hAnsi="Times New Roman" w:cs="Times New Roman"/>
          <w:color w:val="auto"/>
          <w:sz w:val="22"/>
          <w:szCs w:val="22"/>
          <w:lang w:eastAsia="en-US"/>
        </w:rPr>
        <w:t xml:space="preserve"> </w:t>
      </w:r>
      <w:r w:rsidRPr="00B25728">
        <w:rPr>
          <w:rFonts w:ascii="Times New Roman" w:eastAsia="Times New Roman" w:hAnsi="Times New Roman" w:cs="Times New Roman"/>
          <w:color w:val="auto"/>
          <w:sz w:val="22"/>
          <w:szCs w:val="22"/>
          <w:lang w:eastAsia="en-US"/>
        </w:rPr>
        <w:t xml:space="preserve">but does not include the </w:t>
      </w:r>
      <w:r w:rsidRPr="00052738">
        <w:rPr>
          <w:rFonts w:ascii="Times New Roman" w:hAnsi="Times New Roman" w:cs="Times New Roman"/>
          <w:sz w:val="22"/>
          <w:szCs w:val="22"/>
        </w:rPr>
        <w:t>financial statements in which the equity method is applied</w:t>
      </w:r>
      <w:r w:rsidRPr="00B25728">
        <w:rPr>
          <w:rFonts w:ascii="Times New Roman" w:eastAsia="Times New Roman" w:hAnsi="Times New Roman" w:cs="Times New Roman"/>
          <w:color w:val="auto"/>
          <w:sz w:val="22"/>
          <w:szCs w:val="22"/>
          <w:lang w:eastAsia="en-US"/>
        </w:rPr>
        <w:t xml:space="preserve"> and separate financial statements and my auditor’s report thereon. The annual report is expected to be made available to me after the date of this auditor</w:t>
      </w:r>
      <w:r>
        <w:rPr>
          <w:rFonts w:ascii="Times New Roman" w:eastAsia="Times New Roman" w:hAnsi="Times New Roman" w:cs="Times New Roman"/>
          <w:color w:val="auto"/>
          <w:sz w:val="22"/>
          <w:szCs w:val="22"/>
          <w:lang w:eastAsia="en-US"/>
        </w:rPr>
        <w:t>’</w:t>
      </w:r>
      <w:r w:rsidRPr="00B25728">
        <w:rPr>
          <w:rFonts w:ascii="Times New Roman" w:eastAsia="Times New Roman" w:hAnsi="Times New Roman" w:cs="Times New Roman"/>
          <w:color w:val="auto"/>
          <w:sz w:val="22"/>
          <w:szCs w:val="22"/>
          <w:lang w:eastAsia="en-US"/>
        </w:rPr>
        <w:t xml:space="preserve">s report. </w:t>
      </w:r>
    </w:p>
    <w:p w:rsidR="00620703" w:rsidRPr="00B25728" w:rsidRDefault="00620703" w:rsidP="00620703">
      <w:pPr>
        <w:pStyle w:val="Default"/>
        <w:rPr>
          <w:rFonts w:ascii="Times New Roman" w:eastAsia="Times New Roman" w:hAnsi="Times New Roman" w:cs="Times New Roman"/>
          <w:color w:val="auto"/>
          <w:sz w:val="22"/>
          <w:szCs w:val="22"/>
          <w:lang w:eastAsia="en-US"/>
        </w:rPr>
      </w:pPr>
    </w:p>
    <w:p w:rsidR="00620703" w:rsidRPr="00B25728" w:rsidRDefault="00620703" w:rsidP="00620703">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My opinion on the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does not cover the other information and I will not express any form of assurance conclusion thereon. </w:t>
      </w:r>
    </w:p>
    <w:p w:rsidR="00620703" w:rsidRPr="00B25728" w:rsidRDefault="00620703" w:rsidP="00620703">
      <w:pPr>
        <w:autoSpaceDE w:val="0"/>
        <w:autoSpaceDN w:val="0"/>
        <w:adjustRightInd w:val="0"/>
        <w:rPr>
          <w:rFonts w:ascii="Times New Roman" w:hAnsi="Times New Roman" w:cs="Times New Roman"/>
          <w:sz w:val="22"/>
          <w:szCs w:val="22"/>
        </w:rPr>
      </w:pPr>
    </w:p>
    <w:p w:rsidR="00620703" w:rsidRDefault="00620703" w:rsidP="00620703">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In connection with my audit of the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my responsibility is to read the other information identified above when it becomes available and, in doing so, consider whether the other information is materially inconsistent with the </w:t>
      </w:r>
      <w:r w:rsidRPr="00052738">
        <w:rPr>
          <w:rFonts w:ascii="Times New Roman" w:hAnsi="Times New Roman" w:cs="Times New Roman"/>
          <w:sz w:val="22"/>
          <w:szCs w:val="22"/>
        </w:rPr>
        <w:t>financial statements in which the equity method is applied</w:t>
      </w:r>
      <w:r w:rsidRPr="00AC0317">
        <w:rPr>
          <w:rFonts w:ascii="Times New Roman" w:hAnsi="Times New Roman" w:cs="Times New Roman"/>
          <w:sz w:val="22"/>
          <w:szCs w:val="22"/>
        </w:rPr>
        <w:t xml:space="preserve"> and separate financial statements or my knowledge obtained in the audit, or otherwise appears to be materially misstated</w:t>
      </w:r>
      <w:r>
        <w:rPr>
          <w:rFonts w:ascii="Times New Roman" w:hAnsi="Times New Roman" w:cs="Times New Roman"/>
          <w:sz w:val="22"/>
          <w:szCs w:val="22"/>
        </w:rPr>
        <w:t>.</w:t>
      </w:r>
    </w:p>
    <w:p w:rsidR="00620703" w:rsidRDefault="00620703" w:rsidP="00620703">
      <w:pPr>
        <w:autoSpaceDE w:val="0"/>
        <w:autoSpaceDN w:val="0"/>
        <w:adjustRightInd w:val="0"/>
        <w:jc w:val="both"/>
        <w:rPr>
          <w:rFonts w:ascii="Times New Roman" w:hAnsi="Times New Roman" w:cs="Times New Roman"/>
          <w:sz w:val="22"/>
          <w:szCs w:val="22"/>
        </w:rPr>
      </w:pPr>
    </w:p>
    <w:p w:rsidR="00620703" w:rsidRDefault="00620703" w:rsidP="00620703">
      <w:pPr>
        <w:autoSpaceDE w:val="0"/>
        <w:autoSpaceDN w:val="0"/>
        <w:adjustRightInd w:val="0"/>
        <w:jc w:val="both"/>
        <w:rPr>
          <w:rFonts w:ascii="Times New Roman" w:hAnsi="Times New Roman" w:cs="Times New Roman"/>
          <w:i/>
          <w:iCs/>
          <w:sz w:val="22"/>
          <w:szCs w:val="22"/>
        </w:rPr>
      </w:pPr>
      <w:r w:rsidRPr="00AC0317">
        <w:rPr>
          <w:rFonts w:ascii="Times New Roman" w:hAnsi="Times New Roman" w:cs="Times New Roman"/>
          <w:sz w:val="22"/>
          <w:szCs w:val="22"/>
        </w:rPr>
        <w:t>When I read the annual report, if I conclude that there is a material misstatement therein, I am required to communicate the matter to those charged with governance and request that the correction be made.</w:t>
      </w:r>
    </w:p>
    <w:p w:rsidR="00620703" w:rsidRDefault="00620703" w:rsidP="00620703">
      <w:pPr>
        <w:autoSpaceDE w:val="0"/>
        <w:autoSpaceDN w:val="0"/>
        <w:adjustRightInd w:val="0"/>
        <w:jc w:val="thaiDistribute"/>
        <w:rPr>
          <w:rFonts w:ascii="Times New Roman" w:hAnsi="Times New Roman" w:cs="Times New Roman"/>
          <w:i/>
          <w:iCs/>
          <w:sz w:val="22"/>
          <w:szCs w:val="22"/>
        </w:rPr>
      </w:pPr>
    </w:p>
    <w:p w:rsidR="00620703" w:rsidRPr="001D4196" w:rsidRDefault="00620703" w:rsidP="00620703">
      <w:pPr>
        <w:autoSpaceDE w:val="0"/>
        <w:autoSpaceDN w:val="0"/>
        <w:adjustRightInd w:val="0"/>
        <w:jc w:val="thaiDistribute"/>
        <w:rPr>
          <w:rFonts w:ascii="Times New Roman" w:hAnsi="Times New Roman" w:cs="Times New Roman"/>
          <w:i/>
          <w:iCs/>
          <w:sz w:val="22"/>
          <w:szCs w:val="22"/>
        </w:rPr>
      </w:pPr>
      <w:r w:rsidRPr="001D4196">
        <w:rPr>
          <w:rFonts w:ascii="Times New Roman" w:hAnsi="Times New Roman" w:cs="Times New Roman"/>
          <w:i/>
          <w:iCs/>
          <w:sz w:val="22"/>
          <w:szCs w:val="22"/>
        </w:rPr>
        <w:t xml:space="preserve">Responsibilities of Management and Those Charged with Governance for the Financial Statements in which the Equity Method is </w:t>
      </w:r>
      <w:r>
        <w:rPr>
          <w:rFonts w:ascii="Times New Roman" w:hAnsi="Times New Roman" w:cs="Times New Roman"/>
          <w:i/>
          <w:iCs/>
          <w:sz w:val="22"/>
          <w:szCs w:val="22"/>
        </w:rPr>
        <w:t>A</w:t>
      </w:r>
      <w:r w:rsidRPr="001D4196">
        <w:rPr>
          <w:rFonts w:ascii="Times New Roman" w:hAnsi="Times New Roman" w:cs="Times New Roman"/>
          <w:i/>
          <w:iCs/>
          <w:sz w:val="22"/>
          <w:szCs w:val="22"/>
        </w:rPr>
        <w:t>pplied and Separate Financial Statements</w:t>
      </w:r>
    </w:p>
    <w:p w:rsidR="00620703" w:rsidRPr="00B25728" w:rsidRDefault="00620703" w:rsidP="00620703">
      <w:pPr>
        <w:autoSpaceDE w:val="0"/>
        <w:autoSpaceDN w:val="0"/>
        <w:adjustRightInd w:val="0"/>
        <w:rPr>
          <w:rFonts w:ascii="Times New Roman" w:hAnsi="Times New Roman" w:cs="Times New Roman"/>
          <w:sz w:val="22"/>
          <w:szCs w:val="22"/>
        </w:rPr>
      </w:pPr>
    </w:p>
    <w:p w:rsidR="00620703" w:rsidRPr="00B25728" w:rsidRDefault="00620703" w:rsidP="00620703">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Management is responsible for the preparation and fair presentation of the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in accordance with TFRSs, and for such internal control as management determines is necessary to enable the preparation of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that are free from material misstatement, whether due to fraud or error. </w:t>
      </w:r>
    </w:p>
    <w:p w:rsidR="00620703" w:rsidRPr="00B25728" w:rsidRDefault="00620703" w:rsidP="00620703">
      <w:pPr>
        <w:autoSpaceDE w:val="0"/>
        <w:autoSpaceDN w:val="0"/>
        <w:adjustRightInd w:val="0"/>
        <w:jc w:val="center"/>
        <w:rPr>
          <w:rFonts w:ascii="Times New Roman" w:hAnsi="Times New Roman" w:cs="Times New Roman"/>
          <w:sz w:val="22"/>
          <w:szCs w:val="22"/>
        </w:rPr>
      </w:pPr>
    </w:p>
    <w:p w:rsidR="00620703" w:rsidRPr="00B25728" w:rsidRDefault="00620703" w:rsidP="00620703">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lastRenderedPageBreak/>
        <w:t xml:space="preserve">In preparing the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management is responsible for assessing the Company’s ability to continue as a going concern, disclosing, as applicable, matters related to going concern and using the going concern basis of accounting unless management either intends to liquidate the Company or to cease operations, or has no realistic alternative but to do so. </w:t>
      </w:r>
    </w:p>
    <w:p w:rsidR="00620703" w:rsidRPr="00B25728" w:rsidRDefault="00620703" w:rsidP="00620703">
      <w:pPr>
        <w:autoSpaceDE w:val="0"/>
        <w:autoSpaceDN w:val="0"/>
        <w:adjustRightInd w:val="0"/>
        <w:jc w:val="both"/>
        <w:rPr>
          <w:rFonts w:ascii="Times New Roman" w:hAnsi="Times New Roman" w:cs="Times New Roman"/>
          <w:sz w:val="22"/>
          <w:szCs w:val="22"/>
        </w:rPr>
      </w:pPr>
    </w:p>
    <w:p w:rsidR="00620703" w:rsidRPr="00B25728" w:rsidRDefault="00620703" w:rsidP="00620703">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Those charged with governance are responsible for overseeing the Company’s financial reporting process. </w:t>
      </w:r>
    </w:p>
    <w:p w:rsidR="00620703" w:rsidRPr="00B25728" w:rsidRDefault="00620703" w:rsidP="00620703">
      <w:pPr>
        <w:spacing w:line="259" w:lineRule="auto"/>
        <w:rPr>
          <w:rFonts w:ascii="Times New Roman" w:hAnsi="Times New Roman" w:cs="Times New Roman"/>
          <w:sz w:val="22"/>
          <w:szCs w:val="22"/>
        </w:rPr>
      </w:pPr>
    </w:p>
    <w:p w:rsidR="00620703" w:rsidRPr="001D4196" w:rsidRDefault="00620703" w:rsidP="00620703">
      <w:pPr>
        <w:autoSpaceDE w:val="0"/>
        <w:autoSpaceDN w:val="0"/>
        <w:adjustRightInd w:val="0"/>
        <w:jc w:val="thaiDistribute"/>
        <w:rPr>
          <w:rFonts w:ascii="Times New Roman" w:hAnsi="Times New Roman" w:cs="Times New Roman"/>
          <w:i/>
          <w:iCs/>
          <w:sz w:val="22"/>
          <w:szCs w:val="22"/>
        </w:rPr>
      </w:pPr>
      <w:r w:rsidRPr="001D4196">
        <w:rPr>
          <w:rFonts w:ascii="Times New Roman" w:hAnsi="Times New Roman" w:cs="Times New Roman"/>
          <w:i/>
          <w:iCs/>
          <w:sz w:val="22"/>
          <w:szCs w:val="22"/>
        </w:rPr>
        <w:t xml:space="preserve">Auditor’s Responsibilities for the Audit of the Financial Statements in which the Equity Method is Applied and Separate Financial Statements </w:t>
      </w:r>
    </w:p>
    <w:p w:rsidR="00620703" w:rsidRPr="00B25728" w:rsidRDefault="00620703" w:rsidP="00620703">
      <w:pPr>
        <w:autoSpaceDE w:val="0"/>
        <w:autoSpaceDN w:val="0"/>
        <w:adjustRightInd w:val="0"/>
        <w:rPr>
          <w:rFonts w:ascii="Times New Roman" w:hAnsi="Times New Roman" w:cs="Times New Roman"/>
          <w:sz w:val="22"/>
          <w:szCs w:val="22"/>
        </w:rPr>
      </w:pPr>
    </w:p>
    <w:p w:rsidR="00620703" w:rsidRPr="00B25728" w:rsidRDefault="00620703" w:rsidP="00620703">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My objectives are to obtain reasonable assurance about whether the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as a whole are free from material misstatement, whether due to fraud or error, and to issue an auditor’s report that includes my opinion. Reasonable assurance is a high</w:t>
      </w:r>
      <w:r>
        <w:rPr>
          <w:rFonts w:ascii="Times New Roman" w:hAnsi="Times New Roman" w:cs="Times New Roman"/>
          <w:sz w:val="22"/>
          <w:szCs w:val="22"/>
        </w:rPr>
        <w:t xml:space="preserve"> level of assurance but is not </w:t>
      </w:r>
      <w:r w:rsidRPr="00B25728">
        <w:rPr>
          <w:rFonts w:ascii="Times New Roman" w:hAnsi="Times New Roman" w:cs="Times New Roman"/>
          <w:sz w:val="22"/>
          <w:szCs w:val="22"/>
        </w:rPr>
        <w:t xml:space="preserve">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w:t>
      </w:r>
    </w:p>
    <w:p w:rsidR="00620703" w:rsidRPr="00B25728" w:rsidRDefault="00620703" w:rsidP="00620703">
      <w:pPr>
        <w:autoSpaceDE w:val="0"/>
        <w:autoSpaceDN w:val="0"/>
        <w:adjustRightInd w:val="0"/>
        <w:jc w:val="both"/>
        <w:rPr>
          <w:rFonts w:ascii="Times New Roman" w:hAnsi="Times New Roman" w:cs="Times New Roman"/>
          <w:sz w:val="22"/>
          <w:szCs w:val="22"/>
        </w:rPr>
      </w:pPr>
    </w:p>
    <w:p w:rsidR="00620703" w:rsidRPr="00B25728" w:rsidRDefault="00620703" w:rsidP="00620703">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As part of an audit in accordance with TSAs, I exercise professional judgment and maintain professional skepticism throughout the audit. I also: </w:t>
      </w:r>
    </w:p>
    <w:p w:rsidR="00620703" w:rsidRPr="00B25728" w:rsidRDefault="00620703" w:rsidP="00620703">
      <w:pPr>
        <w:autoSpaceDE w:val="0"/>
        <w:autoSpaceDN w:val="0"/>
        <w:adjustRightInd w:val="0"/>
        <w:jc w:val="both"/>
        <w:rPr>
          <w:rFonts w:ascii="Times New Roman" w:hAnsi="Times New Roman" w:cs="Times New Roman"/>
          <w:sz w:val="22"/>
          <w:szCs w:val="22"/>
        </w:rPr>
      </w:pPr>
    </w:p>
    <w:p w:rsidR="00620703" w:rsidRPr="00B25728" w:rsidRDefault="00620703" w:rsidP="00620703">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t xml:space="preserve">Identify and assess the risks of material misstatement of the </w:t>
      </w:r>
      <w:r w:rsidRPr="00052738">
        <w:rPr>
          <w:szCs w:val="22"/>
        </w:rPr>
        <w:t>financial statements in which the equity method is applied</w:t>
      </w:r>
      <w:r w:rsidRPr="00B25728">
        <w:rPr>
          <w:szCs w:val="22"/>
          <w:lang w:val="en-US" w:bidi="th-TH"/>
        </w:rPr>
        <w:t xml:space="preserve">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rsidR="00620703" w:rsidRPr="00B25728" w:rsidRDefault="00620703" w:rsidP="00620703">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t xml:space="preserve">Obtain an understanding of internal control relevant to the audit in order to design audit procedures that are appropriate in the circumstances, but not for the purpose of expressing an opinion on </w:t>
      </w:r>
      <w:r>
        <w:rPr>
          <w:szCs w:val="22"/>
          <w:lang w:val="en-US" w:bidi="th-TH"/>
        </w:rPr>
        <w:br/>
      </w:r>
      <w:r w:rsidRPr="00B25728">
        <w:rPr>
          <w:szCs w:val="22"/>
          <w:lang w:val="en-US" w:bidi="th-TH"/>
        </w:rPr>
        <w:t>the effectiveness of the Company’s internal control.</w:t>
      </w:r>
    </w:p>
    <w:p w:rsidR="00620703" w:rsidRPr="007A2012" w:rsidRDefault="00620703" w:rsidP="00620703">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t xml:space="preserve">Evaluate the appropriateness of accounting policies used and the reasonableness of accounting estimates and related disclosures made by management. </w:t>
      </w:r>
    </w:p>
    <w:p w:rsidR="00620703" w:rsidRDefault="00620703" w:rsidP="00620703">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t>Conclude on the appropriateness of management’s use of the going concern basis of accounting and, based on the audit evidence obtained, whether a material uncertainty exists related to events or conditions that may cast significant doubt on</w:t>
      </w:r>
      <w:r>
        <w:rPr>
          <w:szCs w:val="22"/>
          <w:lang w:val="en-US" w:bidi="th-TH"/>
        </w:rPr>
        <w:t xml:space="preserve"> </w:t>
      </w:r>
      <w:r w:rsidRPr="00B25728">
        <w:rPr>
          <w:szCs w:val="22"/>
          <w:lang w:val="en-US" w:bidi="th-TH"/>
        </w:rPr>
        <w:t xml:space="preserve">the Company’s ability to continue as a going concern. If I conclude that a material uncertainty exists, I am required to draw attention in my auditor’s report to the related disclosures in the </w:t>
      </w:r>
      <w:r w:rsidRPr="00052738">
        <w:rPr>
          <w:szCs w:val="22"/>
        </w:rPr>
        <w:t>financial statements in which the equity method is applied</w:t>
      </w:r>
      <w:r w:rsidRPr="00B25728">
        <w:rPr>
          <w:szCs w:val="22"/>
          <w:lang w:val="en-US" w:bidi="th-TH"/>
        </w:rPr>
        <w:t xml:space="preserve"> and separate financial statements or, </w:t>
      </w:r>
      <w:r w:rsidRPr="00FF64AE">
        <w:rPr>
          <w:spacing w:val="-6"/>
          <w:szCs w:val="22"/>
          <w:lang w:val="en-US" w:bidi="th-TH"/>
        </w:rPr>
        <w:t>if such disclosures are inadequate, to modify my opinion. My conclusions are based on the audit evidence</w:t>
      </w:r>
      <w:r w:rsidRPr="00B25728">
        <w:rPr>
          <w:szCs w:val="22"/>
          <w:lang w:val="en-US" w:bidi="th-TH"/>
        </w:rPr>
        <w:t xml:space="preserve"> obtained up to the date of my auditor’s report. However, future events or conditions may cause the Company to </w:t>
      </w:r>
      <w:r>
        <w:rPr>
          <w:szCs w:val="22"/>
          <w:lang w:val="en-US" w:bidi="th-TH"/>
        </w:rPr>
        <w:t>cease to continue as a going concern.</w:t>
      </w:r>
    </w:p>
    <w:p w:rsidR="00620703" w:rsidRPr="00B25728" w:rsidRDefault="00620703" w:rsidP="00620703">
      <w:pPr>
        <w:pStyle w:val="ListParagraph"/>
        <w:numPr>
          <w:ilvl w:val="0"/>
          <w:numId w:val="1"/>
        </w:numPr>
        <w:autoSpaceDE w:val="0"/>
        <w:autoSpaceDN w:val="0"/>
        <w:adjustRightInd w:val="0"/>
        <w:spacing w:after="200" w:line="276" w:lineRule="auto"/>
        <w:jc w:val="both"/>
        <w:rPr>
          <w:szCs w:val="22"/>
          <w:lang w:val="en-US" w:bidi="th-TH"/>
        </w:rPr>
      </w:pPr>
      <w:r w:rsidRPr="00B25728">
        <w:rPr>
          <w:szCs w:val="22"/>
          <w:lang w:val="en-US" w:bidi="th-TH"/>
        </w:rPr>
        <w:t xml:space="preserve">Evaluate the overall presentation, structure and content of the </w:t>
      </w:r>
      <w:r w:rsidRPr="00052738">
        <w:rPr>
          <w:szCs w:val="22"/>
        </w:rPr>
        <w:t>financial statements in which the equity method is applied</w:t>
      </w:r>
      <w:r w:rsidRPr="00B25728">
        <w:rPr>
          <w:szCs w:val="22"/>
          <w:lang w:val="en-US" w:bidi="th-TH"/>
        </w:rPr>
        <w:t xml:space="preserve"> and separate financial statements, including the disclosures, and whether the </w:t>
      </w:r>
      <w:r w:rsidRPr="00052738">
        <w:rPr>
          <w:szCs w:val="22"/>
        </w:rPr>
        <w:t>financial statements in which the equity method is applied</w:t>
      </w:r>
      <w:r w:rsidRPr="00B25728">
        <w:rPr>
          <w:szCs w:val="22"/>
          <w:lang w:val="en-US" w:bidi="th-TH"/>
        </w:rPr>
        <w:t xml:space="preserve"> and separate financial statements represent the underlying transactions and events in a manner that achieves fair presentation. </w:t>
      </w:r>
    </w:p>
    <w:p w:rsidR="00620703" w:rsidRPr="00B25728"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szCs w:val="22"/>
        </w:rPr>
        <w:br w:type="page"/>
      </w:r>
    </w:p>
    <w:p w:rsidR="00620703" w:rsidRPr="00B25728" w:rsidRDefault="00620703" w:rsidP="00620703">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lastRenderedPageBreak/>
        <w:t xml:space="preserve">I communicate with those charged with governance regarding, among other matters, the planned scope and timing of the audit and significant audit findings, including any significant deficiencies in internal control that I identify during my audit. </w:t>
      </w:r>
    </w:p>
    <w:p w:rsidR="00620703" w:rsidRPr="00B25728" w:rsidRDefault="00620703" w:rsidP="00620703">
      <w:pPr>
        <w:autoSpaceDE w:val="0"/>
        <w:autoSpaceDN w:val="0"/>
        <w:adjustRightInd w:val="0"/>
        <w:rPr>
          <w:rFonts w:ascii="Times New Roman" w:hAnsi="Times New Roman" w:cs="Times New Roman"/>
          <w:sz w:val="22"/>
          <w:szCs w:val="22"/>
        </w:rPr>
      </w:pPr>
    </w:p>
    <w:p w:rsidR="00620703" w:rsidRPr="00B25728" w:rsidRDefault="00620703" w:rsidP="00620703">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rsidR="00620703" w:rsidRPr="00B25728" w:rsidRDefault="00620703" w:rsidP="00620703">
      <w:pPr>
        <w:autoSpaceDE w:val="0"/>
        <w:autoSpaceDN w:val="0"/>
        <w:adjustRightInd w:val="0"/>
        <w:jc w:val="both"/>
        <w:rPr>
          <w:rFonts w:ascii="Times New Roman" w:hAnsi="Times New Roman" w:cs="Times New Roman"/>
          <w:sz w:val="22"/>
          <w:szCs w:val="22"/>
        </w:rPr>
      </w:pPr>
    </w:p>
    <w:p w:rsidR="00620703" w:rsidRPr="00B25728" w:rsidRDefault="00620703" w:rsidP="00620703">
      <w:pPr>
        <w:autoSpaceDE w:val="0"/>
        <w:autoSpaceDN w:val="0"/>
        <w:adjustRightInd w:val="0"/>
        <w:jc w:val="both"/>
        <w:rPr>
          <w:rFonts w:ascii="Times New Roman" w:hAnsi="Times New Roman" w:cs="Times New Roman"/>
          <w:sz w:val="22"/>
          <w:szCs w:val="22"/>
        </w:rPr>
      </w:pPr>
      <w:r w:rsidRPr="00B25728">
        <w:rPr>
          <w:rFonts w:ascii="Times New Roman" w:hAnsi="Times New Roman" w:cs="Times New Roman"/>
          <w:sz w:val="22"/>
          <w:szCs w:val="22"/>
        </w:rPr>
        <w:t>From the matters communicated with those charged with governance, I determine those matters that were of most significance in the audit of the</w:t>
      </w:r>
      <w:r>
        <w:rPr>
          <w:rFonts w:ascii="Times New Roman" w:hAnsi="Times New Roman" w:cs="Times New Roman"/>
          <w:sz w:val="22"/>
          <w:szCs w:val="22"/>
        </w:rPr>
        <w:t xml:space="preserve"> </w:t>
      </w:r>
      <w:r w:rsidRPr="00052738">
        <w:rPr>
          <w:rFonts w:ascii="Times New Roman" w:hAnsi="Times New Roman" w:cs="Times New Roman"/>
          <w:sz w:val="22"/>
          <w:szCs w:val="22"/>
        </w:rPr>
        <w:t>financial statements in which the equity method is applied</w:t>
      </w:r>
      <w:r w:rsidRPr="00B25728">
        <w:rPr>
          <w:rFonts w:ascii="Times New Roman" w:hAnsi="Times New Roman" w:cs="Times New Roman"/>
          <w:sz w:val="22"/>
          <w:szCs w:val="22"/>
        </w:rPr>
        <w:t xml:space="preserve">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rsidR="00620703" w:rsidRDefault="00620703" w:rsidP="00620703">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imes New Roman"/>
        </w:rPr>
      </w:pPr>
    </w:p>
    <w:p w:rsidR="00620703" w:rsidRDefault="00620703" w:rsidP="00620703">
      <w:pPr>
        <w:tabs>
          <w:tab w:val="clear" w:pos="227"/>
          <w:tab w:val="clear" w:pos="454"/>
          <w:tab w:val="clear" w:pos="680"/>
          <w:tab w:val="left" w:pos="720"/>
        </w:tabs>
        <w:jc w:val="both"/>
        <w:rPr>
          <w:rFonts w:ascii="Times New Roman" w:hAnsi="Times New Roman" w:cs="Times New Roman"/>
          <w:sz w:val="22"/>
          <w:szCs w:val="22"/>
        </w:rPr>
      </w:pPr>
    </w:p>
    <w:p w:rsidR="00620703" w:rsidRDefault="00620703" w:rsidP="00620703">
      <w:pPr>
        <w:tabs>
          <w:tab w:val="clear" w:pos="227"/>
          <w:tab w:val="clear" w:pos="454"/>
          <w:tab w:val="clear" w:pos="680"/>
          <w:tab w:val="left" w:pos="720"/>
        </w:tabs>
        <w:jc w:val="both"/>
        <w:rPr>
          <w:rFonts w:ascii="Times New Roman" w:hAnsi="Times New Roman" w:cs="Times New Roman"/>
          <w:sz w:val="22"/>
          <w:szCs w:val="22"/>
        </w:rPr>
      </w:pPr>
    </w:p>
    <w:p w:rsidR="00620703" w:rsidRDefault="00620703" w:rsidP="00620703">
      <w:pPr>
        <w:tabs>
          <w:tab w:val="clear" w:pos="227"/>
          <w:tab w:val="clear" w:pos="454"/>
          <w:tab w:val="clear" w:pos="680"/>
          <w:tab w:val="left" w:pos="720"/>
        </w:tabs>
        <w:jc w:val="both"/>
        <w:rPr>
          <w:rFonts w:ascii="Times New Roman" w:hAnsi="Times New Roman" w:cs="Times New Roman"/>
          <w:sz w:val="22"/>
          <w:szCs w:val="22"/>
        </w:rPr>
      </w:pPr>
    </w:p>
    <w:p w:rsidR="00620703" w:rsidRDefault="00620703" w:rsidP="00620703">
      <w:pPr>
        <w:tabs>
          <w:tab w:val="clear" w:pos="227"/>
          <w:tab w:val="clear" w:pos="454"/>
          <w:tab w:val="clear" w:pos="680"/>
          <w:tab w:val="left" w:pos="720"/>
        </w:tabs>
        <w:jc w:val="both"/>
        <w:rPr>
          <w:rFonts w:ascii="Times New Roman" w:hAnsi="Times New Roman" w:cs="Times New Roman"/>
          <w:sz w:val="22"/>
          <w:szCs w:val="22"/>
        </w:rPr>
      </w:pPr>
    </w:p>
    <w:p w:rsidR="00620703" w:rsidRDefault="00620703" w:rsidP="00620703">
      <w:pPr>
        <w:tabs>
          <w:tab w:val="clear" w:pos="227"/>
          <w:tab w:val="clear" w:pos="454"/>
          <w:tab w:val="clear" w:pos="680"/>
          <w:tab w:val="left" w:pos="720"/>
        </w:tabs>
        <w:jc w:val="both"/>
        <w:rPr>
          <w:rFonts w:ascii="Times New Roman" w:hAnsi="Times New Roman" w:cs="Times New Roman"/>
          <w:sz w:val="22"/>
          <w:szCs w:val="22"/>
        </w:rPr>
      </w:pPr>
    </w:p>
    <w:p w:rsidR="00620703" w:rsidRDefault="00620703" w:rsidP="00620703">
      <w:pPr>
        <w:pStyle w:val="RNormal"/>
        <w:rPr>
          <w:rFonts w:cs="Times New Roman"/>
          <w:szCs w:val="22"/>
        </w:rPr>
      </w:pPr>
      <w:r>
        <w:rPr>
          <w:rFonts w:cs="Times New Roman"/>
          <w:szCs w:val="22"/>
        </w:rPr>
        <w:t>(</w:t>
      </w:r>
      <w:r w:rsidRPr="00ED445C">
        <w:rPr>
          <w:rFonts w:cs="Times New Roman"/>
          <w:szCs w:val="22"/>
        </w:rPr>
        <w:t>C</w:t>
      </w:r>
      <w:r>
        <w:rPr>
          <w:rFonts w:cs="Times New Roman"/>
          <w:szCs w:val="22"/>
        </w:rPr>
        <w:t xml:space="preserve">hanarat </w:t>
      </w:r>
      <w:r w:rsidRPr="00ED445C">
        <w:rPr>
          <w:rFonts w:cs="Times New Roman"/>
          <w:szCs w:val="22"/>
        </w:rPr>
        <w:t>C</w:t>
      </w:r>
      <w:r>
        <w:rPr>
          <w:rFonts w:cs="Times New Roman"/>
          <w:szCs w:val="22"/>
        </w:rPr>
        <w:t>hanwa)</w:t>
      </w:r>
    </w:p>
    <w:p w:rsidR="00620703" w:rsidRDefault="00620703" w:rsidP="00620703">
      <w:pPr>
        <w:pStyle w:val="RNormal"/>
        <w:rPr>
          <w:rFonts w:cs="Times New Roman"/>
          <w:szCs w:val="22"/>
        </w:rPr>
      </w:pPr>
      <w:r>
        <w:rPr>
          <w:rFonts w:cs="Times New Roman"/>
          <w:szCs w:val="22"/>
        </w:rPr>
        <w:t>Certified Public Accountant</w:t>
      </w:r>
    </w:p>
    <w:p w:rsidR="00620703" w:rsidRDefault="00620703" w:rsidP="00620703">
      <w:pPr>
        <w:pStyle w:val="RNormal"/>
        <w:rPr>
          <w:rFonts w:cs="Times New Roman"/>
          <w:szCs w:val="22"/>
          <w:shd w:val="clear" w:color="auto" w:fill="E0E0E0"/>
        </w:rPr>
      </w:pPr>
      <w:r>
        <w:rPr>
          <w:rFonts w:cs="Times New Roman"/>
          <w:szCs w:val="22"/>
        </w:rPr>
        <w:t>Registration No. 9052</w:t>
      </w:r>
    </w:p>
    <w:p w:rsidR="00620703" w:rsidRDefault="00620703" w:rsidP="00620703">
      <w:pPr>
        <w:pStyle w:val="RNormal"/>
        <w:rPr>
          <w:rFonts w:cs="Times New Roman"/>
          <w:szCs w:val="22"/>
        </w:rPr>
      </w:pPr>
    </w:p>
    <w:p w:rsidR="00620703" w:rsidRDefault="00620703" w:rsidP="00620703">
      <w:pPr>
        <w:pStyle w:val="RNormal"/>
        <w:rPr>
          <w:rFonts w:cs="Times New Roman"/>
          <w:szCs w:val="22"/>
        </w:rPr>
      </w:pPr>
    </w:p>
    <w:p w:rsidR="00620703" w:rsidRDefault="00620703" w:rsidP="00620703">
      <w:pPr>
        <w:pStyle w:val="RNormal"/>
        <w:rPr>
          <w:rFonts w:cs="Times New Roman"/>
          <w:szCs w:val="22"/>
        </w:rPr>
      </w:pPr>
      <w:r>
        <w:rPr>
          <w:rFonts w:cs="Times New Roman"/>
          <w:szCs w:val="22"/>
        </w:rPr>
        <w:t>KPMG Phoomchai Audit Ltd.</w:t>
      </w:r>
    </w:p>
    <w:p w:rsidR="00620703" w:rsidRDefault="00620703" w:rsidP="00620703">
      <w:pPr>
        <w:pStyle w:val="RNormal"/>
        <w:rPr>
          <w:rFonts w:cs="Times New Roman"/>
          <w:szCs w:val="22"/>
        </w:rPr>
      </w:pPr>
      <w:r>
        <w:rPr>
          <w:rFonts w:cs="Times New Roman"/>
          <w:szCs w:val="22"/>
        </w:rPr>
        <w:t>Bangkok</w:t>
      </w:r>
    </w:p>
    <w:p w:rsidR="00620703" w:rsidRDefault="00620703" w:rsidP="00620703">
      <w:pPr>
        <w:pStyle w:val="RNormal"/>
        <w:rPr>
          <w:rFonts w:cs="Times New Roman"/>
          <w:szCs w:val="22"/>
        </w:rPr>
      </w:pPr>
      <w:r>
        <w:rPr>
          <w:rFonts w:cs="Cordia New"/>
          <w:szCs w:val="28"/>
          <w:lang w:bidi="th-TH"/>
        </w:rPr>
        <w:t>31 May 2021</w:t>
      </w:r>
    </w:p>
    <w:p w:rsidR="00620703" w:rsidRPr="0019739F" w:rsidRDefault="00620703" w:rsidP="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rPr>
          <w:rFonts w:ascii="Times New Roman" w:hAnsi="Times New Roman" w:cs="Times New Roman"/>
          <w:sz w:val="22"/>
          <w:szCs w:val="22"/>
        </w:rPr>
      </w:pPr>
    </w:p>
    <w:p w:rsidR="00EC42E7" w:rsidRPr="00620703" w:rsidRDefault="00EC42E7"/>
    <w:sectPr w:rsidR="00EC42E7" w:rsidRPr="00620703" w:rsidSect="001D0781">
      <w:footerReference w:type="default" r:id="rId10"/>
      <w:footerReference w:type="first" r:id="rId11"/>
      <w:pgSz w:w="11909" w:h="16834" w:code="9"/>
      <w:pgMar w:top="691" w:right="1152" w:bottom="576" w:left="1152" w:header="720" w:footer="742" w:gutter="0"/>
      <w:cols w:space="720"/>
      <w:titlePg/>
      <w:docGrid w:linePitch="2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76F" w:rsidRDefault="00620703" w:rsidP="00464D30">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44</w:t>
    </w:r>
    <w:r>
      <w:rPr>
        <w:rStyle w:val="PageNumber"/>
      </w:rPr>
      <w:fldChar w:fldCharType="end"/>
    </w:r>
  </w:p>
  <w:p w:rsidR="00A9576F" w:rsidRDefault="00620703" w:rsidP="00464D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76F" w:rsidRDefault="00620703">
    <w:pPr>
      <w:pStyle w:val="Footer"/>
    </w:pPr>
    <w:r>
      <w:t xml:space="preserve"> </w:t>
    </w:r>
  </w:p>
  <w:p w:rsidR="00A9576F" w:rsidRDefault="006207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76F" w:rsidRPr="00FB3529" w:rsidRDefault="00620703" w:rsidP="00FB35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76F" w:rsidRDefault="00620703" w:rsidP="00464D30">
    <w:pPr>
      <w:pStyle w:val="Footer"/>
    </w:pPr>
    <w:r w:rsidRPr="006A7858">
      <w:rPr>
        <w:rFonts w:ascii="Times New Roman" w:hAnsi="Times New Roman" w:cs="Times New Roman"/>
        <w:sz w:val="22"/>
        <w:szCs w:val="22"/>
      </w:rPr>
      <w:fldChar w:fldCharType="begin"/>
    </w:r>
    <w:r w:rsidRPr="006A7858">
      <w:rPr>
        <w:rFonts w:ascii="Times New Roman" w:hAnsi="Times New Roman" w:cs="Times New Roman"/>
        <w:sz w:val="22"/>
        <w:szCs w:val="22"/>
      </w:rPr>
      <w:instrText xml:space="preserve"> PAGE   \* MERGEFORMAT </w:instrText>
    </w:r>
    <w:r w:rsidRPr="006A7858">
      <w:rPr>
        <w:rFonts w:ascii="Times New Roman" w:hAnsi="Times New Roman" w:cs="Times New Roman"/>
        <w:sz w:val="22"/>
        <w:szCs w:val="22"/>
      </w:rPr>
      <w:fldChar w:fldCharType="separate"/>
    </w:r>
    <w:r>
      <w:rPr>
        <w:rFonts w:ascii="Times New Roman" w:hAnsi="Times New Roman" w:cs="Times New Roman"/>
        <w:noProof/>
        <w:sz w:val="22"/>
        <w:szCs w:val="22"/>
      </w:rPr>
      <w:t>5</w:t>
    </w:r>
    <w:r w:rsidRPr="006A7858">
      <w:rPr>
        <w:rFonts w:ascii="Times New Roman" w:hAnsi="Times New Roman" w:cs="Times New Roman"/>
        <w:sz w:val="22"/>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76F" w:rsidRPr="001D0781" w:rsidRDefault="00620703">
    <w:pPr>
      <w:pStyle w:val="Footer"/>
      <w:tabs>
        <w:tab w:val="clear" w:pos="4678"/>
      </w:tabs>
      <w:rPr>
        <w:rFonts w:ascii="Times New Roman" w:hAnsi="Times New Roman" w:cs="Times New Roman"/>
        <w:caps/>
        <w:noProof/>
        <w:sz w:val="22"/>
        <w:szCs w:val="22"/>
      </w:rPr>
    </w:pPr>
    <w:r w:rsidRPr="001D0781">
      <w:rPr>
        <w:rFonts w:ascii="Times New Roman" w:hAnsi="Times New Roman" w:cs="Times New Roman"/>
        <w:caps/>
        <w:sz w:val="22"/>
        <w:szCs w:val="22"/>
      </w:rPr>
      <w:fldChar w:fldCharType="begin"/>
    </w:r>
    <w:r w:rsidRPr="001D0781">
      <w:rPr>
        <w:rFonts w:ascii="Times New Roman" w:hAnsi="Times New Roman" w:cs="Times New Roman"/>
        <w:caps/>
        <w:sz w:val="22"/>
        <w:szCs w:val="22"/>
      </w:rPr>
      <w:instrText xml:space="preserve"> PAGE   \* MERGEFORMAT </w:instrText>
    </w:r>
    <w:r w:rsidRPr="001D0781">
      <w:rPr>
        <w:rFonts w:ascii="Times New Roman" w:hAnsi="Times New Roman" w:cs="Times New Roman"/>
        <w:caps/>
        <w:sz w:val="22"/>
        <w:szCs w:val="22"/>
      </w:rPr>
      <w:fldChar w:fldCharType="separate"/>
    </w:r>
    <w:r>
      <w:rPr>
        <w:rFonts w:ascii="Times New Roman" w:hAnsi="Times New Roman" w:cs="Times New Roman"/>
        <w:caps/>
        <w:noProof/>
        <w:sz w:val="22"/>
        <w:szCs w:val="22"/>
      </w:rPr>
      <w:t>2</w:t>
    </w:r>
    <w:r w:rsidRPr="001D0781">
      <w:rPr>
        <w:rFonts w:ascii="Times New Roman" w:hAnsi="Times New Roman" w:cs="Times New Roman"/>
        <w:caps/>
        <w:noProof/>
        <w:sz w:val="22"/>
        <w:szCs w:val="22"/>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76F" w:rsidRDefault="00620703" w:rsidP="004866A4">
    <w:pPr>
      <w:pStyle w:val="acctmainheading"/>
      <w:spacing w:after="0" w:line="240" w:lineRule="atLeast"/>
      <w:rPr>
        <w:rFonts w:cs="Times New Roman"/>
        <w:sz w:val="22"/>
        <w:szCs w:val="22"/>
      </w:rPr>
    </w:pPr>
  </w:p>
  <w:p w:rsidR="00A9576F" w:rsidRDefault="00620703" w:rsidP="004866A4">
    <w:pPr>
      <w:pStyle w:val="acctmainheading"/>
      <w:spacing w:after="0" w:line="240" w:lineRule="atLeast"/>
      <w:rPr>
        <w:rFonts w:cs="Times New Roman"/>
        <w:sz w:val="22"/>
        <w:szCs w:val="22"/>
      </w:rPr>
    </w:pPr>
  </w:p>
  <w:p w:rsidR="00A9576F" w:rsidRDefault="00620703" w:rsidP="004866A4">
    <w:pPr>
      <w:pStyle w:val="acctmainheading"/>
      <w:spacing w:after="0" w:line="240" w:lineRule="atLeast"/>
      <w:rPr>
        <w:rFonts w:cs="Times New Roman"/>
        <w:sz w:val="22"/>
        <w:szCs w:val="22"/>
      </w:rPr>
    </w:pPr>
  </w:p>
  <w:p w:rsidR="00A9576F" w:rsidRPr="007E1EFD" w:rsidRDefault="00620703" w:rsidP="004866A4">
    <w:pPr>
      <w:pStyle w:val="acctmainheading"/>
      <w:spacing w:after="0" w:line="240" w:lineRule="atLeast"/>
      <w:rPr>
        <w:rFonts w:cs="Times New Roman"/>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576F" w:rsidRDefault="00620703">
    <w:pPr>
      <w:pStyle w:val="Header"/>
      <w:rPr>
        <w:rFonts w:ascii="Times New Roman" w:hAnsi="Times New Roman" w:cs="Times New Roman"/>
        <w:sz w:val="24"/>
        <w:szCs w:val="24"/>
        <w:lang w:val="en-GB"/>
      </w:rPr>
    </w:pPr>
  </w:p>
  <w:p w:rsidR="00A9576F" w:rsidRPr="008D0FE1" w:rsidRDefault="00620703">
    <w:pPr>
      <w:pStyle w:val="Header"/>
      <w:rPr>
        <w:rFonts w:ascii="Times New Roman" w:hAnsi="Times New Roman" w:cs="Times New Roman"/>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 w15:restartNumberingAfterBreak="0">
    <w:nsid w:val="7BD72FBB"/>
    <w:multiLevelType w:val="hybridMultilevel"/>
    <w:tmpl w:val="9AA8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703"/>
    <w:rsid w:val="00620703"/>
    <w:rsid w:val="00EC42E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252E6"/>
  <w15:chartTrackingRefBased/>
  <w15:docId w15:val="{48F46079-7B2C-4C7D-94C9-BA814A905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70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Angsana New"/>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20703"/>
    <w:pPr>
      <w:tabs>
        <w:tab w:val="center" w:pos="4536"/>
        <w:tab w:val="right" w:pos="9072"/>
      </w:tabs>
    </w:pPr>
  </w:style>
  <w:style w:type="character" w:customStyle="1" w:styleId="HeaderChar">
    <w:name w:val="Header Char"/>
    <w:basedOn w:val="DefaultParagraphFont"/>
    <w:link w:val="Header"/>
    <w:uiPriority w:val="99"/>
    <w:rsid w:val="00620703"/>
    <w:rPr>
      <w:rFonts w:ascii="Arial" w:eastAsia="Times New Roman" w:hAnsi="Arial" w:cs="Angsana New"/>
      <w:sz w:val="18"/>
      <w:szCs w:val="18"/>
    </w:rPr>
  </w:style>
  <w:style w:type="paragraph" w:styleId="Footer">
    <w:name w:val="footer"/>
    <w:basedOn w:val="Normal"/>
    <w:link w:val="FooterChar"/>
    <w:uiPriority w:val="99"/>
    <w:rsid w:val="00620703"/>
    <w:pPr>
      <w:tabs>
        <w:tab w:val="center" w:pos="4536"/>
        <w:tab w:val="right" w:pos="9072"/>
      </w:tabs>
      <w:jc w:val="center"/>
    </w:pPr>
  </w:style>
  <w:style w:type="character" w:customStyle="1" w:styleId="FooterChar">
    <w:name w:val="Footer Char"/>
    <w:basedOn w:val="DefaultParagraphFont"/>
    <w:link w:val="Footer"/>
    <w:uiPriority w:val="99"/>
    <w:rsid w:val="00620703"/>
    <w:rPr>
      <w:rFonts w:ascii="Arial" w:eastAsia="Times New Roman" w:hAnsi="Arial" w:cs="Angsana New"/>
      <w:sz w:val="18"/>
      <w:szCs w:val="18"/>
    </w:rPr>
  </w:style>
  <w:style w:type="paragraph" w:styleId="BodyText">
    <w:name w:val="Body Text"/>
    <w:aliases w:val="bt,body text,Body"/>
    <w:basedOn w:val="Normal"/>
    <w:link w:val="BodyTextChar"/>
    <w:uiPriority w:val="99"/>
    <w:rsid w:val="00620703"/>
    <w:pPr>
      <w:spacing w:after="120"/>
    </w:pPr>
  </w:style>
  <w:style w:type="character" w:customStyle="1" w:styleId="BodyTextChar">
    <w:name w:val="Body Text Char"/>
    <w:aliases w:val="bt Char,body text Char,Body Char"/>
    <w:basedOn w:val="DefaultParagraphFont"/>
    <w:link w:val="BodyText"/>
    <w:uiPriority w:val="99"/>
    <w:rsid w:val="00620703"/>
    <w:rPr>
      <w:rFonts w:ascii="Arial" w:eastAsia="Times New Roman" w:hAnsi="Arial" w:cs="Angsana New"/>
      <w:sz w:val="18"/>
      <w:szCs w:val="18"/>
    </w:rPr>
  </w:style>
  <w:style w:type="paragraph" w:customStyle="1" w:styleId="StandaardOpinion">
    <w:name w:val="StandaardOpinion"/>
    <w:basedOn w:val="Normal"/>
    <w:rsid w:val="00620703"/>
    <w:pPr>
      <w:spacing w:line="280" w:lineRule="atLeast"/>
    </w:pPr>
    <w:rPr>
      <w:rFonts w:ascii="Times New Roman" w:hAnsi="Times New Roman"/>
      <w:sz w:val="22"/>
      <w:szCs w:val="22"/>
    </w:rPr>
  </w:style>
  <w:style w:type="character" w:styleId="PageNumber">
    <w:name w:val="page number"/>
    <w:basedOn w:val="DefaultParagraphFont"/>
    <w:rsid w:val="00620703"/>
  </w:style>
  <w:style w:type="paragraph" w:customStyle="1" w:styleId="acctmainheading">
    <w:name w:val="acct main heading"/>
    <w:aliases w:val="am"/>
    <w:basedOn w:val="Normal"/>
    <w:rsid w:val="00620703"/>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eastAsia="SimSun" w:hAnsi="Times New Roman"/>
      <w:b/>
      <w:sz w:val="28"/>
      <w:szCs w:val="20"/>
      <w:lang w:val="en-GB" w:bidi="ar-SA"/>
    </w:rPr>
  </w:style>
  <w:style w:type="paragraph" w:customStyle="1" w:styleId="RNormal">
    <w:name w:val="RNormal"/>
    <w:basedOn w:val="Normal"/>
    <w:rsid w:val="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eastAsia="MS Mincho" w:hAnsi="Times New Roman"/>
      <w:sz w:val="22"/>
      <w:szCs w:val="24"/>
      <w:lang w:bidi="ar-SA"/>
    </w:rPr>
  </w:style>
  <w:style w:type="paragraph" w:customStyle="1" w:styleId="CoverTitle">
    <w:name w:val="Cover Title"/>
    <w:basedOn w:val="Normal"/>
    <w:rsid w:val="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styleId="ListParagraph">
    <w:name w:val="List Paragraph"/>
    <w:aliases w:val="FS ENG01"/>
    <w:basedOn w:val="Normal"/>
    <w:link w:val="ListParagraphChar"/>
    <w:uiPriority w:val="34"/>
    <w:qFormat/>
    <w:rsid w:val="0062070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Default">
    <w:name w:val="Default"/>
    <w:rsid w:val="00620703"/>
    <w:pPr>
      <w:autoSpaceDE w:val="0"/>
      <w:autoSpaceDN w:val="0"/>
      <w:adjustRightInd w:val="0"/>
      <w:spacing w:after="0" w:line="240" w:lineRule="auto"/>
    </w:pPr>
    <w:rPr>
      <w:rFonts w:ascii="Univers 45 Light" w:eastAsia="Batang" w:hAnsi="Univers 45 Light" w:cs="Univers 45 Light"/>
      <w:color w:val="000000"/>
      <w:sz w:val="24"/>
      <w:szCs w:val="24"/>
      <w:lang w:eastAsia="ko-KR"/>
    </w:rPr>
  </w:style>
  <w:style w:type="character" w:customStyle="1" w:styleId="ListParagraphChar">
    <w:name w:val="List Paragraph Char"/>
    <w:aliases w:val="FS ENG01 Char"/>
    <w:link w:val="ListParagraph"/>
    <w:uiPriority w:val="34"/>
    <w:locked/>
    <w:rsid w:val="00620703"/>
    <w:rPr>
      <w:rFonts w:ascii="Times New Roman" w:eastAsia="Times New Roman" w:hAnsi="Times New Roman" w:cs="Times New Roman"/>
      <w:szCs w:val="2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header" Target="header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2191</Words>
  <Characters>12490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TRC</Company>
  <LinksUpToDate>false</LinksUpToDate>
  <CharactersWithSpaces>14652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Suwanna Chalermwat</dc:creator>
  <cp:keywords/>
  <dc:description/>
  <cp:lastModifiedBy>Suwanna Chalermwat</cp:lastModifiedBy>
  <cp:revision>1</cp:revision>
  <dcterms:created xsi:type="dcterms:W3CDTF">2021-05-31T13:16:00Z</dcterms:created>
  <dcterms:modified xsi:type="dcterms:W3CDTF">2021-05-31T13:18:00Z</dcterms:modified>
</cp:coreProperties>
</file>